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6DD1D" w14:textId="4326AFF9" w:rsidR="00A53F2D" w:rsidRPr="00D244D4" w:rsidRDefault="00822221">
      <w:r w:rsidRPr="00D244D4">
        <w:t xml:space="preserve">JUDGES CANNOT REMAND DEFENDANTS CHARGED WITH NON-QUALIFYING OFFENSES TO                              </w:t>
      </w:r>
      <w:r w:rsidR="003E7F54" w:rsidRPr="00D244D4">
        <w:t xml:space="preserve">    </w:t>
      </w:r>
      <w:r w:rsidRPr="00D244D4">
        <w:t xml:space="preserve">CUSTODY FOR COMPETENCY EXAMINATIONS PURSUANT TO CPL </w:t>
      </w:r>
      <w:r w:rsidR="000F0BFB" w:rsidRPr="00D244D4">
        <w:t>ARTICLE 730</w:t>
      </w:r>
    </w:p>
    <w:p w14:paraId="6F4523C4" w14:textId="77777777" w:rsidR="00822221" w:rsidRPr="00D244D4" w:rsidRDefault="00822221"/>
    <w:p w14:paraId="494FDECE" w14:textId="1C09F3B6" w:rsidR="00822221" w:rsidRPr="00D244D4" w:rsidRDefault="00822221">
      <w:r w:rsidRPr="00D244D4">
        <w:t>Thomas P. Franczyk</w:t>
      </w:r>
    </w:p>
    <w:p w14:paraId="10519ED8" w14:textId="3C6B0712" w:rsidR="00822221" w:rsidRPr="00D244D4" w:rsidRDefault="00822221">
      <w:r w:rsidRPr="00D244D4">
        <w:t xml:space="preserve">Mentor-at-Large to the </w:t>
      </w:r>
    </w:p>
    <w:p w14:paraId="6A04E9B2" w14:textId="14DA6E56" w:rsidR="00822221" w:rsidRPr="00D244D4" w:rsidRDefault="00822221">
      <w:r w:rsidRPr="00D244D4">
        <w:t>Assigned Counsel Program</w:t>
      </w:r>
    </w:p>
    <w:p w14:paraId="741244A7" w14:textId="08E89699" w:rsidR="00822221" w:rsidRPr="00D244D4" w:rsidRDefault="00822221">
      <w:r w:rsidRPr="00D244D4">
        <w:t>Ju</w:t>
      </w:r>
      <w:r w:rsidR="00DF503C" w:rsidRPr="00D244D4">
        <w:t>ly</w:t>
      </w:r>
      <w:r w:rsidRPr="00D244D4">
        <w:t xml:space="preserve"> 2023</w:t>
      </w:r>
    </w:p>
    <w:p w14:paraId="0F52FBB5" w14:textId="77777777" w:rsidR="0094704A" w:rsidRPr="00D244D4" w:rsidRDefault="0094704A"/>
    <w:p w14:paraId="733878E3" w14:textId="6674A37C" w:rsidR="0094704A" w:rsidRPr="00D244D4" w:rsidRDefault="0094704A">
      <w:r w:rsidRPr="00D244D4">
        <w:t>INTRODUCTION</w:t>
      </w:r>
    </w:p>
    <w:p w14:paraId="4C7F5420" w14:textId="0625E548" w:rsidR="0094704A" w:rsidRPr="00D244D4" w:rsidRDefault="00BA6EB4">
      <w:r w:rsidRPr="00D244D4">
        <w:t xml:space="preserve">In </w:t>
      </w:r>
      <w:r w:rsidR="00684F56" w:rsidRPr="00D244D4">
        <w:rPr>
          <w:i/>
          <w:iCs/>
        </w:rPr>
        <w:t>People ex rel</w:t>
      </w:r>
      <w:r w:rsidR="00DF503C" w:rsidRPr="00D244D4">
        <w:rPr>
          <w:i/>
          <w:iCs/>
        </w:rPr>
        <w:t>.</w:t>
      </w:r>
      <w:r w:rsidR="00684F56" w:rsidRPr="00D244D4">
        <w:rPr>
          <w:i/>
          <w:iCs/>
        </w:rPr>
        <w:t xml:space="preserve"> Molinaro </w:t>
      </w:r>
      <w:r w:rsidR="00544879" w:rsidRPr="00D244D4">
        <w:rPr>
          <w:i/>
          <w:iCs/>
        </w:rPr>
        <w:t>v</w:t>
      </w:r>
      <w:r w:rsidR="00600B7F" w:rsidRPr="00D244D4">
        <w:rPr>
          <w:i/>
          <w:iCs/>
        </w:rPr>
        <w:t xml:space="preserve"> Warden</w:t>
      </w:r>
      <w:r w:rsidR="00DF503C" w:rsidRPr="00D244D4">
        <w:rPr>
          <w:i/>
          <w:iCs/>
        </w:rPr>
        <w:t xml:space="preserve">, </w:t>
      </w:r>
      <w:r w:rsidR="00600B7F" w:rsidRPr="00D244D4">
        <w:rPr>
          <w:i/>
          <w:iCs/>
        </w:rPr>
        <w:t>Rikers Is</w:t>
      </w:r>
      <w:r w:rsidR="00DF503C" w:rsidRPr="00D244D4">
        <w:rPr>
          <w:i/>
          <w:iCs/>
        </w:rPr>
        <w:t>.</w:t>
      </w:r>
      <w:r w:rsidR="00E401E6" w:rsidRPr="00D244D4">
        <w:t>,</w:t>
      </w:r>
      <w:r w:rsidR="00922637" w:rsidRPr="00D244D4">
        <w:t xml:space="preserve"> </w:t>
      </w:r>
      <w:r w:rsidR="00DF503C" w:rsidRPr="00D244D4">
        <w:t>(39 NY3d 120 [2022]</w:t>
      </w:r>
      <w:r w:rsidR="002640A9" w:rsidRPr="00D244D4">
        <w:t xml:space="preserve">), </w:t>
      </w:r>
      <w:r w:rsidR="00233D6F" w:rsidRPr="00D244D4">
        <w:t>the Court of Ap</w:t>
      </w:r>
      <w:r w:rsidR="004E058E" w:rsidRPr="00D244D4">
        <w:t xml:space="preserve">peals </w:t>
      </w:r>
      <w:r w:rsidR="00E2769D" w:rsidRPr="00D244D4">
        <w:t xml:space="preserve">resolved an issue left open in </w:t>
      </w:r>
      <w:r w:rsidR="00E2769D" w:rsidRPr="00D244D4">
        <w:rPr>
          <w:i/>
          <w:iCs/>
        </w:rPr>
        <w:t>Matter of LaBelle</w:t>
      </w:r>
      <w:r w:rsidR="00E2769D" w:rsidRPr="00D244D4">
        <w:t xml:space="preserve"> </w:t>
      </w:r>
      <w:r w:rsidR="00555DCE" w:rsidRPr="00D244D4">
        <w:t>(</w:t>
      </w:r>
      <w:r w:rsidR="00D07D5F" w:rsidRPr="00D244D4">
        <w:t>79 NY</w:t>
      </w:r>
      <w:r w:rsidR="00102F45" w:rsidRPr="00D244D4">
        <w:t xml:space="preserve"> 3</w:t>
      </w:r>
      <w:r w:rsidR="00E52E12" w:rsidRPr="00D244D4">
        <w:t>50</w:t>
      </w:r>
      <w:r w:rsidR="00102F45" w:rsidRPr="00D244D4">
        <w:t xml:space="preserve"> </w:t>
      </w:r>
      <w:r w:rsidR="00555DCE" w:rsidRPr="00D244D4">
        <w:t>[</w:t>
      </w:r>
      <w:r w:rsidR="00E52E12" w:rsidRPr="00D244D4">
        <w:t>1992</w:t>
      </w:r>
      <w:r w:rsidR="00555DCE" w:rsidRPr="00D244D4">
        <w:t>]</w:t>
      </w:r>
      <w:r w:rsidR="00E52E12" w:rsidRPr="00D244D4">
        <w:t>),</w:t>
      </w:r>
      <w:r w:rsidR="00102F45" w:rsidRPr="00D244D4">
        <w:t xml:space="preserve"> </w:t>
      </w:r>
      <w:r w:rsidR="00233D6F" w:rsidRPr="00D244D4">
        <w:t>h</w:t>
      </w:r>
      <w:r w:rsidR="00E401E6" w:rsidRPr="00D244D4">
        <w:t>olding that CPL 730.20 does NOT give courts</w:t>
      </w:r>
      <w:r w:rsidR="00397BCE" w:rsidRPr="00D244D4">
        <w:t>, faced with the task of determining a defendant’s fitness to proceed</w:t>
      </w:r>
      <w:r w:rsidR="00516291" w:rsidRPr="00D244D4">
        <w:t xml:space="preserve">, the authority to remand him/her </w:t>
      </w:r>
      <w:r w:rsidR="008C2175" w:rsidRPr="00D244D4">
        <w:t>for a competency exam</w:t>
      </w:r>
      <w:r w:rsidR="00FD2D7D" w:rsidRPr="00D244D4">
        <w:t xml:space="preserve"> when charged only with NON</w:t>
      </w:r>
      <w:r w:rsidR="0087360E" w:rsidRPr="00D244D4">
        <w:t>-</w:t>
      </w:r>
      <w:r w:rsidR="00FD2D7D" w:rsidRPr="00D244D4">
        <w:t>QUALIFYING offenses (</w:t>
      </w:r>
      <w:r w:rsidR="00C16847" w:rsidRPr="00D244D4">
        <w:t xml:space="preserve">see </w:t>
      </w:r>
      <w:r w:rsidR="00FD2D7D" w:rsidRPr="00D244D4">
        <w:t>CPL 500.10</w:t>
      </w:r>
      <w:r w:rsidR="009C0177" w:rsidRPr="00D244D4">
        <w:t xml:space="preserve"> [3-a],</w:t>
      </w:r>
      <w:r w:rsidR="00885915" w:rsidRPr="00D244D4">
        <w:t xml:space="preserve"> [3-</w:t>
      </w:r>
      <w:r w:rsidR="009C0177" w:rsidRPr="00D244D4">
        <w:t>b], 510.10[3]</w:t>
      </w:r>
      <w:r w:rsidR="00C16847" w:rsidRPr="00D244D4">
        <w:t>, 530.20 [1] [a]).</w:t>
      </w:r>
    </w:p>
    <w:p w14:paraId="5752CD5D" w14:textId="378B536F" w:rsidR="00544879" w:rsidRPr="00D244D4" w:rsidRDefault="00C5662D">
      <w:r w:rsidRPr="00D244D4">
        <w:t xml:space="preserve">The defendant in </w:t>
      </w:r>
      <w:r w:rsidR="00555DCE" w:rsidRPr="00D244D4">
        <w:rPr>
          <w:i/>
          <w:iCs/>
        </w:rPr>
        <w:t>Molinaro</w:t>
      </w:r>
      <w:r w:rsidRPr="00D244D4">
        <w:t xml:space="preserve"> was arraigned in the local criminal court on</w:t>
      </w:r>
      <w:r w:rsidR="0052581D" w:rsidRPr="00D244D4">
        <w:t xml:space="preserve"> a misdemeanor complaint </w:t>
      </w:r>
      <w:r w:rsidR="00B7501D" w:rsidRPr="00D244D4">
        <w:t>charging</w:t>
      </w:r>
      <w:r w:rsidRPr="00D244D4">
        <w:t xml:space="preserve"> several non-qualifying offenses</w:t>
      </w:r>
      <w:r w:rsidR="00080FDE" w:rsidRPr="00D244D4">
        <w:t>,</w:t>
      </w:r>
      <w:r w:rsidRPr="00D244D4">
        <w:t xml:space="preserve"> </w:t>
      </w:r>
      <w:r w:rsidR="00B7501D" w:rsidRPr="00D244D4">
        <w:t>but instead of being released on recognizance or upon non-monetary conditions</w:t>
      </w:r>
      <w:r w:rsidR="00080FDE" w:rsidRPr="00D244D4">
        <w:t xml:space="preserve">, was remanded to Rikers Island </w:t>
      </w:r>
      <w:r w:rsidR="00657847" w:rsidRPr="00D244D4">
        <w:t>pending a forensic examination.</w:t>
      </w:r>
    </w:p>
    <w:p w14:paraId="7CA3FFC5" w14:textId="770C8DE1" w:rsidR="00657847" w:rsidRPr="00D244D4" w:rsidRDefault="00657847">
      <w:r w:rsidRPr="00D244D4">
        <w:t xml:space="preserve">The </w:t>
      </w:r>
      <w:r w:rsidR="00EF367C" w:rsidRPr="00D244D4">
        <w:t xml:space="preserve">relator </w:t>
      </w:r>
      <w:r w:rsidRPr="00D244D4">
        <w:t>brought a</w:t>
      </w:r>
      <w:r w:rsidR="00EF367C" w:rsidRPr="00D244D4">
        <w:t xml:space="preserve"> petition for </w:t>
      </w:r>
      <w:r w:rsidRPr="00D244D4">
        <w:t xml:space="preserve"> Writ of Habeas</w:t>
      </w:r>
      <w:r w:rsidR="00EF367C" w:rsidRPr="00D244D4">
        <w:t xml:space="preserve"> in Supreme Court, arguing that the defendant </w:t>
      </w:r>
      <w:r w:rsidR="003F096F" w:rsidRPr="00D244D4">
        <w:t xml:space="preserve">was entitled to be released from custody </w:t>
      </w:r>
      <w:r w:rsidR="00061A91" w:rsidRPr="00D244D4">
        <w:t>because he was not charged with any bail-eligible cr</w:t>
      </w:r>
      <w:r w:rsidR="003061DB" w:rsidRPr="00D244D4">
        <w:t xml:space="preserve">imes and CPL 730.20 (2) </w:t>
      </w:r>
      <w:r w:rsidR="00CB6853" w:rsidRPr="00D244D4">
        <w:t xml:space="preserve">only authorizes a court in such circumstances to </w:t>
      </w:r>
      <w:r w:rsidR="0020519C" w:rsidRPr="00D244D4">
        <w:t xml:space="preserve">order either an out-patient examination or </w:t>
      </w:r>
      <w:r w:rsidR="00346479" w:rsidRPr="00D244D4">
        <w:t>confine</w:t>
      </w:r>
      <w:r w:rsidR="002961BA" w:rsidRPr="00D244D4">
        <w:t>ment</w:t>
      </w:r>
      <w:r w:rsidR="00D955D9" w:rsidRPr="00D244D4">
        <w:t xml:space="preserve"> of the </w:t>
      </w:r>
      <w:r w:rsidR="00257897" w:rsidRPr="00D244D4">
        <w:t xml:space="preserve">defendant to a hospital upon the </w:t>
      </w:r>
      <w:r w:rsidR="00106162" w:rsidRPr="00D244D4">
        <w:t xml:space="preserve">determination by the </w:t>
      </w:r>
      <w:r w:rsidR="00716AAA" w:rsidRPr="00D244D4">
        <w:t>hospital director (on behalf of the State Office of Mental Health)</w:t>
      </w:r>
      <w:r w:rsidR="00CF1A83" w:rsidRPr="00D244D4">
        <w:t xml:space="preserve"> that </w:t>
      </w:r>
      <w:r w:rsidR="00B00B06" w:rsidRPr="00D244D4">
        <w:t xml:space="preserve">such confinement is necessary for an effective examination. </w:t>
      </w:r>
    </w:p>
    <w:p w14:paraId="7828A989" w14:textId="77777777" w:rsidR="00BF16A6" w:rsidRPr="00D244D4" w:rsidRDefault="00BF16A6"/>
    <w:p w14:paraId="3B83B12B" w14:textId="6E456B0C" w:rsidR="00BF16A6" w:rsidRPr="00D244D4" w:rsidRDefault="00052D64">
      <w:r w:rsidRPr="00D244D4">
        <w:t>PETITION DENIED/DECISION REVERSED</w:t>
      </w:r>
      <w:r w:rsidR="001A2E1E" w:rsidRPr="00D244D4">
        <w:t>/CHARGES DISMISSE</w:t>
      </w:r>
      <w:r w:rsidR="00BF16A6" w:rsidRPr="00D244D4">
        <w:t>D</w:t>
      </w:r>
    </w:p>
    <w:p w14:paraId="1B562DB7" w14:textId="621797CD" w:rsidR="00D955D9" w:rsidRPr="00D244D4" w:rsidRDefault="00A8434C">
      <w:r w:rsidRPr="00D244D4">
        <w:t xml:space="preserve">Supreme Court </w:t>
      </w:r>
      <w:r w:rsidR="00D471FD" w:rsidRPr="00D244D4">
        <w:t xml:space="preserve">DENIED </w:t>
      </w:r>
      <w:r w:rsidRPr="00D244D4">
        <w:t xml:space="preserve">the petition (citing </w:t>
      </w:r>
      <w:r w:rsidR="00D804E5" w:rsidRPr="00D244D4">
        <w:rPr>
          <w:i/>
          <w:iCs/>
        </w:rPr>
        <w:t>People v</w:t>
      </w:r>
      <w:r w:rsidRPr="00D244D4">
        <w:rPr>
          <w:i/>
          <w:iCs/>
        </w:rPr>
        <w:t xml:space="preserve"> Suero</w:t>
      </w:r>
      <w:r w:rsidRPr="00D244D4">
        <w:t xml:space="preserve">, </w:t>
      </w:r>
      <w:r w:rsidR="0030425A" w:rsidRPr="00D244D4">
        <w:t>67 Misc</w:t>
      </w:r>
      <w:r w:rsidR="00A82193" w:rsidRPr="00D244D4">
        <w:t>.</w:t>
      </w:r>
      <w:r w:rsidR="0030425A" w:rsidRPr="00D244D4">
        <w:t>3d 229 [Sup</w:t>
      </w:r>
      <w:r w:rsidR="00A82193" w:rsidRPr="00D244D4">
        <w:t>.</w:t>
      </w:r>
      <w:r w:rsidR="0030425A" w:rsidRPr="00D244D4">
        <w:t xml:space="preserve"> Ct</w:t>
      </w:r>
      <w:r w:rsidR="00A82193" w:rsidRPr="00D244D4">
        <w:t>.</w:t>
      </w:r>
      <w:r w:rsidR="0030425A" w:rsidRPr="00D244D4">
        <w:t>, Kings County 2020])</w:t>
      </w:r>
      <w:r w:rsidR="00C362FD" w:rsidRPr="00D244D4">
        <w:t>,</w:t>
      </w:r>
      <w:r w:rsidR="00AB4425" w:rsidRPr="00D244D4">
        <w:t xml:space="preserve"> ruling that CPL 730 </w:t>
      </w:r>
      <w:r w:rsidR="001B23C1" w:rsidRPr="00D244D4">
        <w:t xml:space="preserve">authorizes a </w:t>
      </w:r>
      <w:r w:rsidR="00E97133" w:rsidRPr="00D244D4">
        <w:t xml:space="preserve">court to hold a defendant in custody </w:t>
      </w:r>
      <w:r w:rsidR="000A798E" w:rsidRPr="00D244D4">
        <w:t xml:space="preserve">to ensure that a potentially incapacitated </w:t>
      </w:r>
      <w:r w:rsidR="0053454D" w:rsidRPr="00D244D4">
        <w:t>person</w:t>
      </w:r>
      <w:r w:rsidR="000A798E" w:rsidRPr="00D244D4">
        <w:t xml:space="preserve"> appears for a competency exam</w:t>
      </w:r>
      <w:r w:rsidR="00D804E5" w:rsidRPr="00D244D4">
        <w:t xml:space="preserve">ination. </w:t>
      </w:r>
    </w:p>
    <w:p w14:paraId="75C881C0" w14:textId="4A6622EA" w:rsidR="00D804E5" w:rsidRPr="00D244D4" w:rsidRDefault="00D471FD">
      <w:r w:rsidRPr="00D244D4">
        <w:t xml:space="preserve">The Second Department REVERSED </w:t>
      </w:r>
      <w:r w:rsidR="00436484" w:rsidRPr="00D244D4">
        <w:t>(195 AD3d 885 [2</w:t>
      </w:r>
      <w:r w:rsidR="00A82193" w:rsidRPr="00D244D4">
        <w:rPr>
          <w:vertAlign w:val="superscript"/>
        </w:rPr>
        <w:t>nd</w:t>
      </w:r>
      <w:r w:rsidR="00436484" w:rsidRPr="00D244D4">
        <w:t xml:space="preserve"> Dept 2021]</w:t>
      </w:r>
      <w:r w:rsidR="003F3F17" w:rsidRPr="00D244D4">
        <w:t xml:space="preserve">, </w:t>
      </w:r>
      <w:r w:rsidR="002C1A08" w:rsidRPr="00D244D4">
        <w:t xml:space="preserve">the </w:t>
      </w:r>
      <w:r w:rsidR="00995BF4" w:rsidRPr="00D244D4">
        <w:t>defendant</w:t>
      </w:r>
      <w:r w:rsidR="002C1A08" w:rsidRPr="00D244D4">
        <w:t xml:space="preserve"> was</w:t>
      </w:r>
      <w:r w:rsidR="007077F5" w:rsidRPr="00D244D4">
        <w:t xml:space="preserve"> thereafter </w:t>
      </w:r>
      <w:r w:rsidR="002C1A08" w:rsidRPr="00D244D4">
        <w:t xml:space="preserve">deemed unfit to proceed </w:t>
      </w:r>
      <w:r w:rsidR="00995BF4" w:rsidRPr="00D244D4">
        <w:t xml:space="preserve">and the </w:t>
      </w:r>
      <w:r w:rsidR="003B182E" w:rsidRPr="00D244D4">
        <w:t>charges were</w:t>
      </w:r>
      <w:r w:rsidR="00052D64" w:rsidRPr="00D244D4">
        <w:t xml:space="preserve"> dismissed</w:t>
      </w:r>
      <w:r w:rsidR="003B182E" w:rsidRPr="00D244D4">
        <w:t>.</w:t>
      </w:r>
    </w:p>
    <w:p w14:paraId="019EDD51" w14:textId="77777777" w:rsidR="00BF16A6" w:rsidRPr="00D244D4" w:rsidRDefault="00BF16A6"/>
    <w:p w14:paraId="1A5CBEDF" w14:textId="4B9F530E" w:rsidR="003B182E" w:rsidRPr="00D244D4" w:rsidRDefault="003B182E">
      <w:r w:rsidRPr="00D244D4">
        <w:t>COURT OF APPEALS</w:t>
      </w:r>
      <w:r w:rsidR="00E846D6" w:rsidRPr="00D244D4">
        <w:t xml:space="preserve"> WEIGHS</w:t>
      </w:r>
      <w:r w:rsidRPr="00D244D4">
        <w:t xml:space="preserve"> IN </w:t>
      </w:r>
      <w:r w:rsidR="00D90CCD" w:rsidRPr="00D244D4">
        <w:t>DESPITE MOOTNESS</w:t>
      </w:r>
    </w:p>
    <w:p w14:paraId="02C59770" w14:textId="60B9A85A" w:rsidR="002B5265" w:rsidRPr="00D244D4" w:rsidRDefault="002B5265">
      <w:r w:rsidRPr="00D244D4">
        <w:t xml:space="preserve">Although the defendant was </w:t>
      </w:r>
      <w:r w:rsidR="007B4A82" w:rsidRPr="00D244D4">
        <w:t>no longer in custody or charged with anything</w:t>
      </w:r>
      <w:r w:rsidR="00B06CC6" w:rsidRPr="00D244D4">
        <w:t xml:space="preserve">, (thus rendering Habeas Corpus moot), the Court took up the matter as </w:t>
      </w:r>
      <w:r w:rsidR="00BC0675" w:rsidRPr="00D244D4">
        <w:t>novel and significant (Matter of LaBelle, supra)</w:t>
      </w:r>
      <w:r w:rsidR="00C01326" w:rsidRPr="00D244D4">
        <w:t xml:space="preserve"> and found that the issue was likely to recur </w:t>
      </w:r>
      <w:r w:rsidR="003216BA" w:rsidRPr="00D244D4">
        <w:t>and evade review (because CPL 730 exams ar</w:t>
      </w:r>
      <w:r w:rsidR="007F6EAD" w:rsidRPr="00D244D4">
        <w:t xml:space="preserve">e typically </w:t>
      </w:r>
      <w:r w:rsidR="007F6EAD" w:rsidRPr="00D244D4">
        <w:lastRenderedPageBreak/>
        <w:t>completed long before the appellate process</w:t>
      </w:r>
      <w:r w:rsidR="00AC38C7" w:rsidRPr="00D244D4">
        <w:t>)</w:t>
      </w:r>
      <w:r w:rsidR="007F6EAD" w:rsidRPr="00D244D4">
        <w:t>.</w:t>
      </w:r>
      <w:r w:rsidR="003B4B93" w:rsidRPr="00D244D4">
        <w:t xml:space="preserve"> </w:t>
      </w:r>
      <w:r w:rsidR="00BC6C91" w:rsidRPr="00D244D4">
        <w:t>Consequently,</w:t>
      </w:r>
      <w:r w:rsidR="003B4B93" w:rsidRPr="00D244D4">
        <w:t xml:space="preserve"> the matter was converted to an action for declaratory judgment.</w:t>
      </w:r>
    </w:p>
    <w:p w14:paraId="522BC284" w14:textId="3E2775A1" w:rsidR="001F3261" w:rsidRPr="00D244D4" w:rsidRDefault="00704EF0">
      <w:r w:rsidRPr="00D244D4">
        <w:t xml:space="preserve">The </w:t>
      </w:r>
      <w:r w:rsidR="00BC6C91" w:rsidRPr="00D244D4">
        <w:t>Court began its analysis with the statutory text which states</w:t>
      </w:r>
      <w:r w:rsidR="007A798D" w:rsidRPr="00D244D4">
        <w:t xml:space="preserve"> that when a defendant is not in custody </w:t>
      </w:r>
      <w:r w:rsidR="00E332AD" w:rsidRPr="00D244D4">
        <w:t>when the court issues an EXAMINATION ORDER</w:t>
      </w:r>
      <w:r w:rsidR="003B661B" w:rsidRPr="00D244D4">
        <w:t>, it may direct that such exam be conducted on an OUTPATIENT basis</w:t>
      </w:r>
      <w:r w:rsidR="00D608FB" w:rsidRPr="00D244D4">
        <w:t xml:space="preserve">, but if the Director informs the court that HOSPITAL CONFINEMENT </w:t>
      </w:r>
      <w:r w:rsidR="00B06580" w:rsidRPr="00D244D4">
        <w:t xml:space="preserve">IS NECESSARY FOR AN EFFECTIVE EXAMINATION, it may direct that </w:t>
      </w:r>
      <w:r w:rsidR="00D33596" w:rsidRPr="00D244D4">
        <w:t>the defendant be CONFINED IN A  HOSPTAL</w:t>
      </w:r>
      <w:r w:rsidR="004276F6" w:rsidRPr="00D244D4">
        <w:t xml:space="preserve"> (designated by the Director) until the examination is completed (CPL 730.20 [2]).</w:t>
      </w:r>
    </w:p>
    <w:p w14:paraId="71FCA99B" w14:textId="7870112F" w:rsidR="00FF585F" w:rsidRPr="00D244D4" w:rsidRDefault="000017F7">
      <w:r w:rsidRPr="00D244D4">
        <w:t xml:space="preserve">When the defendant is IN CUSTODY </w:t>
      </w:r>
      <w:r w:rsidR="00C75B1A" w:rsidRPr="00D244D4">
        <w:t>at the time</w:t>
      </w:r>
      <w:r w:rsidRPr="00D244D4">
        <w:t xml:space="preserve"> the order is issued, </w:t>
      </w:r>
      <w:r w:rsidR="00664A26" w:rsidRPr="00D244D4">
        <w:t xml:space="preserve">the examination MUST BE CONDUCTED AT THE PLACE WHERE THE DEFENDANT </w:t>
      </w:r>
      <w:r w:rsidR="009A1129" w:rsidRPr="00D244D4">
        <w:t xml:space="preserve">IS BEING HELD IN CUSTODY. However, if the Director determines </w:t>
      </w:r>
      <w:r w:rsidR="00EC195A" w:rsidRPr="00D244D4">
        <w:t xml:space="preserve">that HOSPITAL CONFINEMENT IS NECESSARY FOR AN EFFECTIVE EXAMINATION, the sheriff must deliver </w:t>
      </w:r>
      <w:r w:rsidR="004B41DC" w:rsidRPr="00D244D4">
        <w:t xml:space="preserve">the defendant to such hospital as the Director designates </w:t>
      </w:r>
      <w:r w:rsidR="0046570A" w:rsidRPr="00D244D4">
        <w:t xml:space="preserve">and hold the defendant in custody therein </w:t>
      </w:r>
      <w:r w:rsidR="002C4350" w:rsidRPr="00D244D4">
        <w:t>under sufficient guard until the examination is completed</w:t>
      </w:r>
      <w:r w:rsidR="003C5CD9" w:rsidRPr="00D244D4">
        <w:t xml:space="preserve"> </w:t>
      </w:r>
      <w:r w:rsidR="002C4350" w:rsidRPr="00D244D4">
        <w:t>(CPL 730.20 [3]).</w:t>
      </w:r>
    </w:p>
    <w:p w14:paraId="7BA7E2BC" w14:textId="77777777" w:rsidR="00E17C6E" w:rsidRPr="00D244D4" w:rsidRDefault="00E17C6E"/>
    <w:p w14:paraId="286EA4C5" w14:textId="3527EE1B" w:rsidR="00722547" w:rsidRPr="00D244D4" w:rsidRDefault="00722547">
      <w:r w:rsidRPr="00D244D4">
        <w:t>DEFENDANT WAS NOT IN CUSTODY</w:t>
      </w:r>
    </w:p>
    <w:p w14:paraId="3B0084DB" w14:textId="2694EA26" w:rsidR="00722547" w:rsidRPr="00D244D4" w:rsidRDefault="00722547">
      <w:r w:rsidRPr="00D244D4">
        <w:t xml:space="preserve">In the Court’s view, </w:t>
      </w:r>
      <w:r w:rsidR="0006053F" w:rsidRPr="00D244D4">
        <w:t>the defendant was not in custody at arraignment for CPL 730 purposes because he was not charged with a qualifying offense</w:t>
      </w:r>
      <w:r w:rsidR="00457895" w:rsidRPr="00D244D4">
        <w:t xml:space="preserve">. </w:t>
      </w:r>
      <w:r w:rsidR="00CC2E9B" w:rsidRPr="00D244D4">
        <w:t xml:space="preserve">Rather than refer </w:t>
      </w:r>
      <w:r w:rsidR="00AE2C98" w:rsidRPr="00D244D4">
        <w:t>broadly to the court’s custodial control over a defendant, the statu</w:t>
      </w:r>
      <w:r w:rsidR="00121AAD" w:rsidRPr="00D244D4">
        <w:t>t</w:t>
      </w:r>
      <w:r w:rsidR="00AE2C98" w:rsidRPr="00D244D4">
        <w:t xml:space="preserve">e’s use of </w:t>
      </w:r>
      <w:r w:rsidR="009E2F56" w:rsidRPr="00D244D4">
        <w:t>“in custody” and “hospital confinement” refers, practically s</w:t>
      </w:r>
      <w:r w:rsidR="00162268" w:rsidRPr="00D244D4">
        <w:t>peaking, to the place where he may be psychiatrically examined.</w:t>
      </w:r>
    </w:p>
    <w:p w14:paraId="1A643F4A" w14:textId="1B8F0FA0" w:rsidR="00786A8C" w:rsidRPr="00D244D4" w:rsidRDefault="00786A8C">
      <w:r w:rsidRPr="00D244D4">
        <w:t xml:space="preserve">Otherwise, </w:t>
      </w:r>
      <w:r w:rsidR="007F05E3" w:rsidRPr="00D244D4">
        <w:t xml:space="preserve">a defendant would have </w:t>
      </w:r>
      <w:r w:rsidR="006E37C5" w:rsidRPr="00D244D4">
        <w:t>to be remanded or confined in a hospital every time the court ordered a competency examination</w:t>
      </w:r>
      <w:r w:rsidR="00A80148" w:rsidRPr="00D244D4">
        <w:t xml:space="preserve">, thus rendering subdivision two meaningless. </w:t>
      </w:r>
      <w:r w:rsidR="00636E64" w:rsidRPr="00D244D4">
        <w:t xml:space="preserve"> </w:t>
      </w:r>
      <w:r w:rsidR="00353E56" w:rsidRPr="00D244D4">
        <w:t xml:space="preserve">As the Court saw it, its interpretation of CPL 730.20 </w:t>
      </w:r>
      <w:r w:rsidR="00D12539" w:rsidRPr="00D244D4">
        <w:t xml:space="preserve">gives meaning to </w:t>
      </w:r>
      <w:r w:rsidR="00F5235B" w:rsidRPr="00D244D4">
        <w:t>all</w:t>
      </w:r>
      <w:r w:rsidR="00D12539" w:rsidRPr="00D244D4">
        <w:t xml:space="preserve"> its terms </w:t>
      </w:r>
      <w:r w:rsidR="00206091" w:rsidRPr="00D244D4">
        <w:t xml:space="preserve">and harmonizes with the bail statutes </w:t>
      </w:r>
      <w:r w:rsidR="00FB1196" w:rsidRPr="00D244D4">
        <w:t>which entitle defendant</w:t>
      </w:r>
      <w:r w:rsidR="00413AC5" w:rsidRPr="00D244D4">
        <w:t>s</w:t>
      </w:r>
      <w:r w:rsidR="00FB1196" w:rsidRPr="00D244D4">
        <w:t xml:space="preserve"> charged with non-qualifying offenses to </w:t>
      </w:r>
      <w:r w:rsidR="009319C8" w:rsidRPr="00D244D4">
        <w:t>release either on recognizance or upon non-monetary conditions.</w:t>
      </w:r>
    </w:p>
    <w:p w14:paraId="4A974713" w14:textId="1A4D9012" w:rsidR="00C52528" w:rsidRPr="00D244D4" w:rsidRDefault="00C52528">
      <w:r w:rsidRPr="00D244D4">
        <w:t xml:space="preserve">The Court rejected the People’s argument that </w:t>
      </w:r>
      <w:r w:rsidR="006C3D15" w:rsidRPr="00D244D4">
        <w:t xml:space="preserve">the use of the </w:t>
      </w:r>
      <w:r w:rsidR="006E2126" w:rsidRPr="00D244D4">
        <w:t>phrase</w:t>
      </w:r>
      <w:r w:rsidR="006C3D15" w:rsidRPr="00D244D4">
        <w:t xml:space="preserve"> “may</w:t>
      </w:r>
      <w:r w:rsidR="005461E6" w:rsidRPr="00D244D4">
        <w:t xml:space="preserve"> direct that such examination be conducted on an out-patie</w:t>
      </w:r>
      <w:r w:rsidR="006676AA" w:rsidRPr="00D244D4">
        <w:t xml:space="preserve">nt basis” </w:t>
      </w:r>
      <w:r w:rsidR="000E1646" w:rsidRPr="00D244D4">
        <w:t xml:space="preserve">provides discretion </w:t>
      </w:r>
      <w:r w:rsidR="00A1572C" w:rsidRPr="00D244D4">
        <w:t>for the court to remand a defendant</w:t>
      </w:r>
      <w:r w:rsidR="006676AA" w:rsidRPr="00D244D4">
        <w:t xml:space="preserve"> for a competency examination. </w:t>
      </w:r>
      <w:r w:rsidR="00ED62F4" w:rsidRPr="00D244D4">
        <w:t xml:space="preserve">Rather, </w:t>
      </w:r>
      <w:r w:rsidR="00761F1A" w:rsidRPr="00D244D4">
        <w:t>subdivision</w:t>
      </w:r>
      <w:r w:rsidR="00ED62F4" w:rsidRPr="00D244D4">
        <w:t xml:space="preserve"> two </w:t>
      </w:r>
      <w:r w:rsidR="00E5772D" w:rsidRPr="00D244D4">
        <w:t>simply instruct</w:t>
      </w:r>
      <w:r w:rsidR="00543168" w:rsidRPr="00D244D4">
        <w:t xml:space="preserve">s the </w:t>
      </w:r>
      <w:r w:rsidR="00F5235B" w:rsidRPr="00D244D4">
        <w:t>court on</w:t>
      </w:r>
      <w:r w:rsidR="00E5772D" w:rsidRPr="00D244D4">
        <w:t xml:space="preserve"> how to order </w:t>
      </w:r>
      <w:r w:rsidR="00C1291E" w:rsidRPr="00D244D4">
        <w:t>the examination</w:t>
      </w:r>
      <w:r w:rsidR="00543168" w:rsidRPr="00D244D4">
        <w:t xml:space="preserve"> when the defendant is at liberty </w:t>
      </w:r>
      <w:r w:rsidR="00D678C8" w:rsidRPr="00D244D4">
        <w:t xml:space="preserve">and subdivision three </w:t>
      </w:r>
      <w:r w:rsidR="004E72C2" w:rsidRPr="00D244D4">
        <w:t xml:space="preserve">directs where the exam shall be conducted when the defendant is already in custody. </w:t>
      </w:r>
    </w:p>
    <w:p w14:paraId="67E9B7A8" w14:textId="3BE08408" w:rsidR="00AD6FDB" w:rsidRPr="00D244D4" w:rsidRDefault="00AD6FDB">
      <w:r w:rsidRPr="00D244D4">
        <w:t xml:space="preserve">The Legislature’s use of “may” in subdivision two </w:t>
      </w:r>
      <w:r w:rsidR="00BE19E3" w:rsidRPr="00D244D4">
        <w:t xml:space="preserve">indicates, therefore, that </w:t>
      </w:r>
      <w:r w:rsidR="007B286F" w:rsidRPr="00D244D4">
        <w:t>the court may either direct an exam</w:t>
      </w:r>
      <w:r w:rsidR="00027CF7" w:rsidRPr="00D244D4">
        <w:t xml:space="preserve"> be </w:t>
      </w:r>
      <w:r w:rsidR="00111962" w:rsidRPr="00D244D4">
        <w:t>conducted on</w:t>
      </w:r>
      <w:r w:rsidR="007B286F" w:rsidRPr="00D244D4">
        <w:t xml:space="preserve"> an out-patient basis</w:t>
      </w:r>
      <w:r w:rsidR="00D514EB" w:rsidRPr="00D244D4">
        <w:t xml:space="preserve"> or</w:t>
      </w:r>
      <w:r w:rsidR="00027CF7" w:rsidRPr="00D244D4">
        <w:t>,</w:t>
      </w:r>
      <w:r w:rsidR="00D514EB" w:rsidRPr="00D244D4">
        <w:t xml:space="preserve"> upon the Director’s recommendation</w:t>
      </w:r>
      <w:r w:rsidR="00027CF7" w:rsidRPr="00D244D4">
        <w:t>,</w:t>
      </w:r>
      <w:r w:rsidR="00BF7A68" w:rsidRPr="00D244D4">
        <w:t xml:space="preserve"> </w:t>
      </w:r>
      <w:r w:rsidR="00111962" w:rsidRPr="00D244D4">
        <w:t>in hospital</w:t>
      </w:r>
      <w:r w:rsidR="00BF7A68" w:rsidRPr="00D244D4">
        <w:t xml:space="preserve"> </w:t>
      </w:r>
      <w:r w:rsidR="00111962" w:rsidRPr="00D244D4">
        <w:t>confinement until the exam is completed.</w:t>
      </w:r>
    </w:p>
    <w:p w14:paraId="71725566" w14:textId="601EA8D1" w:rsidR="008107D0" w:rsidRPr="00D244D4" w:rsidRDefault="008107D0">
      <w:r w:rsidRPr="00D244D4">
        <w:t>LEGISLATIVE HISTORY</w:t>
      </w:r>
    </w:p>
    <w:p w14:paraId="7FC50BCD" w14:textId="3AF1C9E7" w:rsidR="008107D0" w:rsidRPr="00D244D4" w:rsidRDefault="008107D0">
      <w:r w:rsidRPr="00D244D4">
        <w:t xml:space="preserve">The Court found </w:t>
      </w:r>
      <w:r w:rsidR="00D44A9A" w:rsidRPr="00D244D4">
        <w:t>further</w:t>
      </w:r>
      <w:r w:rsidRPr="00D244D4">
        <w:t xml:space="preserve"> support for </w:t>
      </w:r>
      <w:r w:rsidR="00D44A9A" w:rsidRPr="00D244D4">
        <w:t>its interpretation in the statute</w:t>
      </w:r>
      <w:r w:rsidR="00FF218D" w:rsidRPr="00D244D4">
        <w:t>’s</w:t>
      </w:r>
      <w:r w:rsidR="00D44A9A" w:rsidRPr="00D244D4">
        <w:t xml:space="preserve"> legislative history, in particular, </w:t>
      </w:r>
      <w:r w:rsidR="001C1827" w:rsidRPr="00D244D4">
        <w:t>the Judicial</w:t>
      </w:r>
      <w:r w:rsidR="00FE4871" w:rsidRPr="00D244D4">
        <w:t xml:space="preserve"> Conference </w:t>
      </w:r>
      <w:r w:rsidR="00FF67C9" w:rsidRPr="00D244D4">
        <w:t xml:space="preserve">Committee of the DC Circuit </w:t>
      </w:r>
      <w:r w:rsidR="00DD5616" w:rsidRPr="00D244D4">
        <w:t xml:space="preserve"> </w:t>
      </w:r>
      <w:r w:rsidR="007C216F" w:rsidRPr="00D244D4">
        <w:t>commentary to CPL 730.20</w:t>
      </w:r>
      <w:r w:rsidR="00BE6F59" w:rsidRPr="00D244D4">
        <w:t>, that “</w:t>
      </w:r>
      <w:r w:rsidR="00104223" w:rsidRPr="00D244D4">
        <w:t xml:space="preserve">the status of the accused who has been enlarged on bail should not be changed </w:t>
      </w:r>
      <w:r w:rsidR="00611E62" w:rsidRPr="00D244D4">
        <w:t xml:space="preserve">because of a pre-trial mental </w:t>
      </w:r>
      <w:r w:rsidR="00A91917" w:rsidRPr="00D244D4">
        <w:t xml:space="preserve">examination being ordered, …and an accused </w:t>
      </w:r>
      <w:r w:rsidR="005C392D" w:rsidRPr="00D244D4">
        <w:t xml:space="preserve">who is otherwise eligible for bail should not be denied bail </w:t>
      </w:r>
      <w:r w:rsidR="006C2081" w:rsidRPr="00D244D4">
        <w:t xml:space="preserve">because a (pre-trial) medical examination </w:t>
      </w:r>
      <w:r w:rsidR="00615D47" w:rsidRPr="00D244D4">
        <w:t>(has been) ordered for them</w:t>
      </w:r>
      <w:r w:rsidR="00AF5220" w:rsidRPr="00D244D4">
        <w:t>”</w:t>
      </w:r>
      <w:r w:rsidR="00D64418" w:rsidRPr="00D244D4">
        <w:t xml:space="preserve"> (</w:t>
      </w:r>
      <w:r w:rsidR="00C1291E" w:rsidRPr="00D244D4">
        <w:t>s</w:t>
      </w:r>
      <w:r w:rsidR="00D64418" w:rsidRPr="00D244D4">
        <w:t xml:space="preserve">ee </w:t>
      </w:r>
      <w:r w:rsidR="00527C4D" w:rsidRPr="00D244D4">
        <w:t xml:space="preserve">Richard G. </w:t>
      </w:r>
      <w:r w:rsidR="00527C4D" w:rsidRPr="00D244D4">
        <w:lastRenderedPageBreak/>
        <w:t>Denzer</w:t>
      </w:r>
      <w:r w:rsidR="00C1291E" w:rsidRPr="00D244D4">
        <w:t>, 1971</w:t>
      </w:r>
      <w:r w:rsidR="00527C4D" w:rsidRPr="00D244D4">
        <w:t xml:space="preserve"> </w:t>
      </w:r>
      <w:r w:rsidR="00D64418" w:rsidRPr="00D244D4">
        <w:t>Practice Commentary</w:t>
      </w:r>
      <w:r w:rsidR="00C1291E" w:rsidRPr="00D244D4">
        <w:t>,</w:t>
      </w:r>
      <w:r w:rsidR="00D64418" w:rsidRPr="00D244D4">
        <w:t xml:space="preserve"> to CPL 730.20</w:t>
      </w:r>
      <w:r w:rsidR="00527C4D" w:rsidRPr="00D244D4">
        <w:t xml:space="preserve">, McKinney’s Cons. Laws of </w:t>
      </w:r>
      <w:r w:rsidR="00195D9F" w:rsidRPr="00D244D4">
        <w:t>NY, Book</w:t>
      </w:r>
      <w:r w:rsidR="004950F7" w:rsidRPr="00D244D4">
        <w:t xml:space="preserve"> 11</w:t>
      </w:r>
      <w:r w:rsidR="00C1291E" w:rsidRPr="00D244D4">
        <w:t>A, CPL 730.20</w:t>
      </w:r>
      <w:r w:rsidR="004950F7" w:rsidRPr="00D244D4">
        <w:t xml:space="preserve"> at 336).</w:t>
      </w:r>
    </w:p>
    <w:p w14:paraId="286ABDDA" w14:textId="7C65C5C5" w:rsidR="00E21D5A" w:rsidRPr="00D244D4" w:rsidRDefault="00E21D5A">
      <w:r w:rsidRPr="00D244D4">
        <w:t xml:space="preserve">The Court </w:t>
      </w:r>
      <w:r w:rsidR="001639FF" w:rsidRPr="00D244D4">
        <w:t xml:space="preserve">was also swayed by a report of the NYC Bar Association </w:t>
      </w:r>
      <w:r w:rsidR="00F36E49" w:rsidRPr="00D244D4">
        <w:t xml:space="preserve">on the </w:t>
      </w:r>
      <w:r w:rsidR="00195D9F" w:rsidRPr="00D244D4">
        <w:t>over</w:t>
      </w:r>
      <w:r w:rsidR="00F36E49" w:rsidRPr="00D244D4">
        <w:t xml:space="preserve">crowded state of the City’s psychiatric hospitals which </w:t>
      </w:r>
      <w:r w:rsidR="00195D9F" w:rsidRPr="00D244D4">
        <w:t xml:space="preserve">resulted in </w:t>
      </w:r>
      <w:r w:rsidR="00EE1E82" w:rsidRPr="00D244D4">
        <w:t xml:space="preserve">inordinate delays in conducting competency examinations. </w:t>
      </w:r>
    </w:p>
    <w:p w14:paraId="72CCDCE0" w14:textId="68DB79AF" w:rsidR="00CA3F46" w:rsidRPr="00D244D4" w:rsidRDefault="00CA3F46">
      <w:r w:rsidRPr="00D244D4">
        <w:t xml:space="preserve">Consequently, the Court concluded that </w:t>
      </w:r>
      <w:r w:rsidR="000D33A0" w:rsidRPr="00D244D4">
        <w:t xml:space="preserve">CPL 730.20(2) was intended to replace </w:t>
      </w:r>
      <w:r w:rsidR="00B15C2D" w:rsidRPr="00D244D4">
        <w:t xml:space="preserve">the mandatory </w:t>
      </w:r>
      <w:r w:rsidR="00F64F70" w:rsidRPr="00D244D4">
        <w:t>restrictive provisions</w:t>
      </w:r>
      <w:r w:rsidR="00B15C2D" w:rsidRPr="00D244D4">
        <w:t xml:space="preserve"> of the predecessor statute (Code of </w:t>
      </w:r>
      <w:r w:rsidR="00DD0BC1" w:rsidRPr="00D244D4">
        <w:t xml:space="preserve">Crim Procedure 660) with </w:t>
      </w:r>
      <w:r w:rsidR="005F7D30" w:rsidRPr="00D244D4">
        <w:t xml:space="preserve">outpatient examinations or hospital confinement only upon </w:t>
      </w:r>
      <w:r w:rsidR="00F461C9" w:rsidRPr="00D244D4">
        <w:t xml:space="preserve">recommendation of the Director. </w:t>
      </w:r>
    </w:p>
    <w:p w14:paraId="52B53DE3" w14:textId="6ABBC5AD" w:rsidR="00111962" w:rsidRPr="00D244D4" w:rsidRDefault="00D37FF5">
      <w:r w:rsidRPr="00D244D4">
        <w:t>The Court suggested that if t</w:t>
      </w:r>
      <w:r w:rsidR="00CD6B44" w:rsidRPr="00D244D4">
        <w:t xml:space="preserve">he </w:t>
      </w:r>
      <w:r w:rsidRPr="00D244D4">
        <w:t>defendant fails to submit to the examination</w:t>
      </w:r>
      <w:r w:rsidR="00CD6B44" w:rsidRPr="00D244D4">
        <w:t xml:space="preserve">, </w:t>
      </w:r>
      <w:r w:rsidR="005C6668" w:rsidRPr="00D244D4">
        <w:t xml:space="preserve">there are ways to compel compliance such </w:t>
      </w:r>
      <w:r w:rsidR="001E4026" w:rsidRPr="00D244D4">
        <w:t xml:space="preserve">as </w:t>
      </w:r>
      <w:r w:rsidR="0016168D" w:rsidRPr="00D244D4">
        <w:t xml:space="preserve">release under supervision </w:t>
      </w:r>
      <w:r w:rsidR="00E636D7" w:rsidRPr="00D244D4">
        <w:t>or civil confinement under the Mental Hygiene Law. In any event, simply remanding a defendant charged with a non-qual</w:t>
      </w:r>
      <w:r w:rsidR="00336368" w:rsidRPr="00D244D4">
        <w:t>ifying offense to accommodate a CPL 730.20 examination order is verboten.</w:t>
      </w:r>
    </w:p>
    <w:p w14:paraId="7A12AE88" w14:textId="766F46D6" w:rsidR="00336368" w:rsidRPr="00D244D4" w:rsidRDefault="00336368">
      <w:r w:rsidRPr="00D244D4">
        <w:t>FINAL THOUGHT.</w:t>
      </w:r>
    </w:p>
    <w:p w14:paraId="090579F5" w14:textId="205A9B19" w:rsidR="00336368" w:rsidRDefault="00FC4789">
      <w:r w:rsidRPr="00D244D4">
        <w:t xml:space="preserve">Counsel representing defendants in need of a competency exam must be sure to remind the court that </w:t>
      </w:r>
      <w:r w:rsidR="00FC2F4E" w:rsidRPr="00D244D4">
        <w:t xml:space="preserve">remanding the client to custody is not an option unless the defendant is charged with a </w:t>
      </w:r>
      <w:r w:rsidR="00C54F88" w:rsidRPr="00D244D4">
        <w:t xml:space="preserve">qualifying offense for bail purposes. </w:t>
      </w:r>
      <w:r w:rsidR="00DF5853" w:rsidRPr="00D244D4">
        <w:t>Even then, absent evidence of a history of</w:t>
      </w:r>
      <w:r w:rsidR="00857926" w:rsidRPr="00D244D4">
        <w:t xml:space="preserve"> the </w:t>
      </w:r>
      <w:r w:rsidR="005F09A3" w:rsidRPr="00D244D4">
        <w:t>defendant evading</w:t>
      </w:r>
      <w:r w:rsidR="00244E7B" w:rsidRPr="00D244D4">
        <w:t xml:space="preserve"> court proceedings, </w:t>
      </w:r>
      <w:r w:rsidR="00CC1DA8" w:rsidRPr="00D244D4">
        <w:t>alternatives to monetary bail (i.e., rel</w:t>
      </w:r>
      <w:r w:rsidR="005F09A3" w:rsidRPr="00D244D4">
        <w:t xml:space="preserve">ease on </w:t>
      </w:r>
      <w:r w:rsidR="00CC1DA8" w:rsidRPr="00D244D4">
        <w:t>non-</w:t>
      </w:r>
      <w:r w:rsidR="005F09A3" w:rsidRPr="00D244D4">
        <w:t>monetary</w:t>
      </w:r>
      <w:r w:rsidR="00CC1DA8" w:rsidRPr="00D244D4">
        <w:t xml:space="preserve"> conditions</w:t>
      </w:r>
      <w:r w:rsidR="005F09A3" w:rsidRPr="00D244D4">
        <w:t xml:space="preserve">) should </w:t>
      </w:r>
      <w:r w:rsidR="00475354" w:rsidRPr="00D244D4">
        <w:t xml:space="preserve">be </w:t>
      </w:r>
      <w:r w:rsidR="00F428A5" w:rsidRPr="00D244D4">
        <w:t xml:space="preserve">pursued </w:t>
      </w:r>
      <w:r w:rsidR="000F0BFB" w:rsidRPr="00D244D4">
        <w:t>with vigor.</w:t>
      </w:r>
    </w:p>
    <w:p w14:paraId="0B08ACBD" w14:textId="77777777" w:rsidR="00111962" w:rsidRDefault="00111962"/>
    <w:p w14:paraId="3D7A7BDA" w14:textId="77777777" w:rsidR="001F7FF5" w:rsidRDefault="001F7FF5"/>
    <w:p w14:paraId="60036EB3" w14:textId="77777777" w:rsidR="007F6EAD" w:rsidRDefault="007F6EAD"/>
    <w:p w14:paraId="6F408CD8" w14:textId="77777777" w:rsidR="00544879" w:rsidRDefault="00544879"/>
    <w:p w14:paraId="286A161B" w14:textId="3AC3CFF5" w:rsidR="00885915" w:rsidRDefault="00885915"/>
    <w:sectPr w:rsidR="0088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21"/>
    <w:rsid w:val="000017F7"/>
    <w:rsid w:val="000169AB"/>
    <w:rsid w:val="00027CF7"/>
    <w:rsid w:val="00052D64"/>
    <w:rsid w:val="0006053F"/>
    <w:rsid w:val="00061A91"/>
    <w:rsid w:val="00080FDE"/>
    <w:rsid w:val="00096B6A"/>
    <w:rsid w:val="000A798E"/>
    <w:rsid w:val="000D33A0"/>
    <w:rsid w:val="000E1646"/>
    <w:rsid w:val="000F0BFB"/>
    <w:rsid w:val="00102F45"/>
    <w:rsid w:val="00104223"/>
    <w:rsid w:val="00106162"/>
    <w:rsid w:val="00111962"/>
    <w:rsid w:val="00121AAD"/>
    <w:rsid w:val="0016168D"/>
    <w:rsid w:val="00162268"/>
    <w:rsid w:val="001639FF"/>
    <w:rsid w:val="00195D9F"/>
    <w:rsid w:val="0019694A"/>
    <w:rsid w:val="001A2E1E"/>
    <w:rsid w:val="001B23C1"/>
    <w:rsid w:val="001C1827"/>
    <w:rsid w:val="001E4026"/>
    <w:rsid w:val="001F3261"/>
    <w:rsid w:val="001F7FF5"/>
    <w:rsid w:val="0020519C"/>
    <w:rsid w:val="00206091"/>
    <w:rsid w:val="00233D6F"/>
    <w:rsid w:val="00244E7B"/>
    <w:rsid w:val="00257897"/>
    <w:rsid w:val="002640A9"/>
    <w:rsid w:val="002961BA"/>
    <w:rsid w:val="002B5265"/>
    <w:rsid w:val="002C1A08"/>
    <w:rsid w:val="002C4350"/>
    <w:rsid w:val="0030425A"/>
    <w:rsid w:val="003061DB"/>
    <w:rsid w:val="003216BA"/>
    <w:rsid w:val="00336368"/>
    <w:rsid w:val="00346479"/>
    <w:rsid w:val="00353E56"/>
    <w:rsid w:val="00397BCE"/>
    <w:rsid w:val="003B1212"/>
    <w:rsid w:val="003B182E"/>
    <w:rsid w:val="003B4B93"/>
    <w:rsid w:val="003B661B"/>
    <w:rsid w:val="003C5CD9"/>
    <w:rsid w:val="003E7F54"/>
    <w:rsid w:val="003F096F"/>
    <w:rsid w:val="003F3F17"/>
    <w:rsid w:val="00413AC5"/>
    <w:rsid w:val="004276F6"/>
    <w:rsid w:val="00436484"/>
    <w:rsid w:val="00457895"/>
    <w:rsid w:val="0046570A"/>
    <w:rsid w:val="00475354"/>
    <w:rsid w:val="004950F7"/>
    <w:rsid w:val="00495FC2"/>
    <w:rsid w:val="004B41DC"/>
    <w:rsid w:val="004E058E"/>
    <w:rsid w:val="004E72C2"/>
    <w:rsid w:val="00516291"/>
    <w:rsid w:val="0052581D"/>
    <w:rsid w:val="00527C4D"/>
    <w:rsid w:val="0053454D"/>
    <w:rsid w:val="00543168"/>
    <w:rsid w:val="00544879"/>
    <w:rsid w:val="005461E6"/>
    <w:rsid w:val="00555DCE"/>
    <w:rsid w:val="005C392D"/>
    <w:rsid w:val="005C6668"/>
    <w:rsid w:val="005F09A3"/>
    <w:rsid w:val="005F7D30"/>
    <w:rsid w:val="00600B7F"/>
    <w:rsid w:val="00611E62"/>
    <w:rsid w:val="00615D47"/>
    <w:rsid w:val="00636E64"/>
    <w:rsid w:val="00657847"/>
    <w:rsid w:val="00664A26"/>
    <w:rsid w:val="006676AA"/>
    <w:rsid w:val="00684F56"/>
    <w:rsid w:val="0069786D"/>
    <w:rsid w:val="006C2081"/>
    <w:rsid w:val="006C3D15"/>
    <w:rsid w:val="006E2126"/>
    <w:rsid w:val="006E37C5"/>
    <w:rsid w:val="00704EF0"/>
    <w:rsid w:val="007077F5"/>
    <w:rsid w:val="00713AA6"/>
    <w:rsid w:val="00716AAA"/>
    <w:rsid w:val="00722547"/>
    <w:rsid w:val="00761F1A"/>
    <w:rsid w:val="00786A8C"/>
    <w:rsid w:val="007A355F"/>
    <w:rsid w:val="007A798D"/>
    <w:rsid w:val="007B286F"/>
    <w:rsid w:val="007B4A82"/>
    <w:rsid w:val="007C216F"/>
    <w:rsid w:val="007F05E3"/>
    <w:rsid w:val="007F6EAD"/>
    <w:rsid w:val="008107D0"/>
    <w:rsid w:val="00822221"/>
    <w:rsid w:val="00857926"/>
    <w:rsid w:val="0087360E"/>
    <w:rsid w:val="00885915"/>
    <w:rsid w:val="008C2175"/>
    <w:rsid w:val="00922637"/>
    <w:rsid w:val="009319C8"/>
    <w:rsid w:val="0094704A"/>
    <w:rsid w:val="00995BF4"/>
    <w:rsid w:val="009A1129"/>
    <w:rsid w:val="009C0177"/>
    <w:rsid w:val="009E2F56"/>
    <w:rsid w:val="00A1572C"/>
    <w:rsid w:val="00A53F2D"/>
    <w:rsid w:val="00A80148"/>
    <w:rsid w:val="00A82193"/>
    <w:rsid w:val="00A8434C"/>
    <w:rsid w:val="00A91917"/>
    <w:rsid w:val="00AB4425"/>
    <w:rsid w:val="00AC38C7"/>
    <w:rsid w:val="00AD6FDB"/>
    <w:rsid w:val="00AE2C98"/>
    <w:rsid w:val="00AF5220"/>
    <w:rsid w:val="00B00B06"/>
    <w:rsid w:val="00B06580"/>
    <w:rsid w:val="00B06CC6"/>
    <w:rsid w:val="00B15C2D"/>
    <w:rsid w:val="00B226BF"/>
    <w:rsid w:val="00B31DA7"/>
    <w:rsid w:val="00B5603C"/>
    <w:rsid w:val="00B7501D"/>
    <w:rsid w:val="00BA6EB4"/>
    <w:rsid w:val="00BC0675"/>
    <w:rsid w:val="00BC6C91"/>
    <w:rsid w:val="00BE19E3"/>
    <w:rsid w:val="00BE6F59"/>
    <w:rsid w:val="00BF16A6"/>
    <w:rsid w:val="00BF7A68"/>
    <w:rsid w:val="00C01326"/>
    <w:rsid w:val="00C1291E"/>
    <w:rsid w:val="00C16847"/>
    <w:rsid w:val="00C362FD"/>
    <w:rsid w:val="00C51718"/>
    <w:rsid w:val="00C52528"/>
    <w:rsid w:val="00C54F88"/>
    <w:rsid w:val="00C5662D"/>
    <w:rsid w:val="00C75B1A"/>
    <w:rsid w:val="00CA3F46"/>
    <w:rsid w:val="00CB6853"/>
    <w:rsid w:val="00CC1DA8"/>
    <w:rsid w:val="00CC2E9B"/>
    <w:rsid w:val="00CD6B44"/>
    <w:rsid w:val="00CF1A83"/>
    <w:rsid w:val="00D07D5F"/>
    <w:rsid w:val="00D12539"/>
    <w:rsid w:val="00D244D4"/>
    <w:rsid w:val="00D33596"/>
    <w:rsid w:val="00D37FF5"/>
    <w:rsid w:val="00D44A9A"/>
    <w:rsid w:val="00D471FD"/>
    <w:rsid w:val="00D514EB"/>
    <w:rsid w:val="00D608FB"/>
    <w:rsid w:val="00D64418"/>
    <w:rsid w:val="00D66322"/>
    <w:rsid w:val="00D678C8"/>
    <w:rsid w:val="00D804E5"/>
    <w:rsid w:val="00D90CCD"/>
    <w:rsid w:val="00D955D9"/>
    <w:rsid w:val="00DD0BC1"/>
    <w:rsid w:val="00DD5616"/>
    <w:rsid w:val="00DF503C"/>
    <w:rsid w:val="00DF5853"/>
    <w:rsid w:val="00E06A1F"/>
    <w:rsid w:val="00E107D1"/>
    <w:rsid w:val="00E17C6E"/>
    <w:rsid w:val="00E21D5A"/>
    <w:rsid w:val="00E2769D"/>
    <w:rsid w:val="00E332AD"/>
    <w:rsid w:val="00E401E6"/>
    <w:rsid w:val="00E52E12"/>
    <w:rsid w:val="00E5772D"/>
    <w:rsid w:val="00E636D7"/>
    <w:rsid w:val="00E64109"/>
    <w:rsid w:val="00E846D6"/>
    <w:rsid w:val="00E97133"/>
    <w:rsid w:val="00EC195A"/>
    <w:rsid w:val="00ED62F4"/>
    <w:rsid w:val="00EE1E82"/>
    <w:rsid w:val="00EF367C"/>
    <w:rsid w:val="00F36E49"/>
    <w:rsid w:val="00F428A5"/>
    <w:rsid w:val="00F461C9"/>
    <w:rsid w:val="00F5235B"/>
    <w:rsid w:val="00F64F70"/>
    <w:rsid w:val="00FB1196"/>
    <w:rsid w:val="00FC2F4E"/>
    <w:rsid w:val="00FC4789"/>
    <w:rsid w:val="00FD2D7D"/>
    <w:rsid w:val="00FE4871"/>
    <w:rsid w:val="00FF218D"/>
    <w:rsid w:val="00FF585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8CC4"/>
  <w15:chartTrackingRefBased/>
  <w15:docId w15:val="{F18C2BE5-4967-4AFB-B477-367A018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2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2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2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2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2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2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2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2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2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2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2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2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2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2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2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2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2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2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22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2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2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22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2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22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22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2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2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22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Franczyk</dc:creator>
  <cp:keywords/>
  <dc:description/>
  <cp:lastModifiedBy>Jennifer Beagle</cp:lastModifiedBy>
  <cp:revision>2</cp:revision>
  <dcterms:created xsi:type="dcterms:W3CDTF">2024-07-02T15:38:00Z</dcterms:created>
  <dcterms:modified xsi:type="dcterms:W3CDTF">2024-07-02T15:38:00Z</dcterms:modified>
</cp:coreProperties>
</file>