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63C4" w14:textId="2AEC5CF5" w:rsidR="00A53F2D" w:rsidRPr="00B64809" w:rsidRDefault="00590215">
      <w:r>
        <w:t xml:space="preserve">        </w:t>
      </w:r>
      <w:r w:rsidRPr="00B64809">
        <w:t xml:space="preserve">COURT OF APPEALS CURTAILS USE OF </w:t>
      </w:r>
      <w:r w:rsidRPr="00B64809">
        <w:rPr>
          <w:i/>
          <w:iCs/>
        </w:rPr>
        <w:t>MOLINEUX</w:t>
      </w:r>
      <w:r w:rsidRPr="00B64809">
        <w:t xml:space="preserve"> AND </w:t>
      </w:r>
      <w:r w:rsidRPr="00B64809">
        <w:rPr>
          <w:i/>
          <w:iCs/>
        </w:rPr>
        <w:t>SANDOVAL</w:t>
      </w:r>
      <w:r w:rsidRPr="00B64809">
        <w:t xml:space="preserve"> EVDENCE   </w:t>
      </w:r>
    </w:p>
    <w:p w14:paraId="0C1DCCF6" w14:textId="617EA0CD" w:rsidR="00590215" w:rsidRPr="00B64809" w:rsidRDefault="00590215">
      <w:r w:rsidRPr="00B64809">
        <w:t xml:space="preserve">                                                 </w:t>
      </w:r>
      <w:r w:rsidR="00F00767" w:rsidRPr="00B64809">
        <w:t xml:space="preserve">  </w:t>
      </w:r>
      <w:r w:rsidRPr="00B64809">
        <w:t xml:space="preserve">  </w:t>
      </w:r>
    </w:p>
    <w:p w14:paraId="183CD89E" w14:textId="5107AC65" w:rsidR="00590215" w:rsidRPr="00B64809" w:rsidRDefault="00590215">
      <w:r w:rsidRPr="00B64809">
        <w:t>Thomas P. Franczyk</w:t>
      </w:r>
    </w:p>
    <w:p w14:paraId="38B2EB35" w14:textId="3EB7E1FF" w:rsidR="00590215" w:rsidRPr="00B64809" w:rsidRDefault="00590215">
      <w:r w:rsidRPr="00B64809">
        <w:t xml:space="preserve">Mentor at Large to the </w:t>
      </w:r>
    </w:p>
    <w:p w14:paraId="70EFE2D3" w14:textId="51AB2752" w:rsidR="00590215" w:rsidRPr="00B64809" w:rsidRDefault="00590215">
      <w:r w:rsidRPr="00B64809">
        <w:t>Assigned Counsel Program</w:t>
      </w:r>
    </w:p>
    <w:p w14:paraId="45A7A580" w14:textId="19913A42" w:rsidR="00590215" w:rsidRPr="00B64809" w:rsidRDefault="00590215">
      <w:r w:rsidRPr="00B64809">
        <w:t>June 2024</w:t>
      </w:r>
    </w:p>
    <w:p w14:paraId="5F310F01" w14:textId="77777777" w:rsidR="00206A24" w:rsidRPr="00B64809" w:rsidRDefault="00206A24"/>
    <w:p w14:paraId="042BBAA5" w14:textId="01C1D883" w:rsidR="00206A24" w:rsidRPr="00B64809" w:rsidRDefault="00206A24">
      <w:r w:rsidRPr="00B64809">
        <w:t>INTRODUCTION</w:t>
      </w:r>
    </w:p>
    <w:p w14:paraId="64FD7A8B" w14:textId="6367FA22" w:rsidR="00206A24" w:rsidRPr="00B64809" w:rsidRDefault="00206A24">
      <w:r w:rsidRPr="00B64809">
        <w:t>In a recent ruling that h</w:t>
      </w:r>
      <w:r w:rsidR="002D10C1" w:rsidRPr="00B64809">
        <w:t>as</w:t>
      </w:r>
      <w:r w:rsidR="007E685E" w:rsidRPr="00B64809">
        <w:t xml:space="preserve"> </w:t>
      </w:r>
      <w:r w:rsidR="002D10C1" w:rsidRPr="00B64809">
        <w:t>riled</w:t>
      </w:r>
      <w:r w:rsidR="007E685E" w:rsidRPr="00B64809">
        <w:t xml:space="preserve"> and rattled </w:t>
      </w:r>
      <w:r w:rsidR="00B411FC" w:rsidRPr="00B64809">
        <w:t>sex crime victims and</w:t>
      </w:r>
      <w:r w:rsidR="00113FB5" w:rsidRPr="00B64809">
        <w:t xml:space="preserve"> their</w:t>
      </w:r>
      <w:r w:rsidR="00B411FC" w:rsidRPr="00B64809">
        <w:t xml:space="preserve"> </w:t>
      </w:r>
      <w:r w:rsidR="00530F2E" w:rsidRPr="00B64809">
        <w:t>advocates</w:t>
      </w:r>
      <w:r w:rsidR="00281CEA" w:rsidRPr="00B64809">
        <w:t xml:space="preserve">, the Court of Appeals reversed </w:t>
      </w:r>
      <w:r w:rsidR="00246691" w:rsidRPr="00B64809">
        <w:t xml:space="preserve">Harvey Weinstein’s convictions for </w:t>
      </w:r>
      <w:r w:rsidR="006B39BF" w:rsidRPr="00B64809">
        <w:t>Criminal Sex Act 1</w:t>
      </w:r>
      <w:r w:rsidR="006B39BF" w:rsidRPr="00B64809">
        <w:rPr>
          <w:vertAlign w:val="superscript"/>
        </w:rPr>
        <w:t>st</w:t>
      </w:r>
      <w:r w:rsidR="006B39BF" w:rsidRPr="00B64809">
        <w:t xml:space="preserve"> degree and Rape 3d degree </w:t>
      </w:r>
      <w:r w:rsidR="0009494C" w:rsidRPr="00B64809">
        <w:t xml:space="preserve">because the trial court </w:t>
      </w:r>
      <w:r w:rsidR="00C74C90" w:rsidRPr="00B64809">
        <w:t xml:space="preserve">erroneously admitted testimony of </w:t>
      </w:r>
      <w:r w:rsidR="00B370AA" w:rsidRPr="00B64809">
        <w:t xml:space="preserve">prior </w:t>
      </w:r>
      <w:r w:rsidR="00C55477" w:rsidRPr="00B64809">
        <w:t xml:space="preserve">uncharged acts </w:t>
      </w:r>
      <w:r w:rsidR="009D587D" w:rsidRPr="00B64809">
        <w:t>of non</w:t>
      </w:r>
      <w:r w:rsidR="00DA1AC5" w:rsidRPr="00B64809">
        <w:t xml:space="preserve">-consensual </w:t>
      </w:r>
      <w:r w:rsidR="00463C6E" w:rsidRPr="00B64809">
        <w:t xml:space="preserve">sex between the </w:t>
      </w:r>
      <w:r w:rsidR="00867ADE" w:rsidRPr="00B64809">
        <w:t xml:space="preserve">once-powerful movie mogul and three </w:t>
      </w:r>
      <w:r w:rsidR="00D21ACE" w:rsidRPr="00B64809">
        <w:t>aspiring actress</w:t>
      </w:r>
      <w:r w:rsidR="004D6916" w:rsidRPr="00B64809">
        <w:t xml:space="preserve">, and permitted the prosecution to cross examine </w:t>
      </w:r>
      <w:r w:rsidR="0029689A" w:rsidRPr="00B64809">
        <w:t xml:space="preserve">him about those and a slew of other bad acts that </w:t>
      </w:r>
      <w:r w:rsidR="00601420" w:rsidRPr="00B64809">
        <w:t xml:space="preserve">would have </w:t>
      </w:r>
      <w:r w:rsidR="004C2104" w:rsidRPr="00B64809">
        <w:t xml:space="preserve">assailed his </w:t>
      </w:r>
      <w:r w:rsidR="00295F42" w:rsidRPr="00B64809">
        <w:t xml:space="preserve">general character </w:t>
      </w:r>
      <w:r w:rsidR="00247568" w:rsidRPr="00B64809">
        <w:t xml:space="preserve">without shedding </w:t>
      </w:r>
      <w:r w:rsidR="00A863A4" w:rsidRPr="00B64809">
        <w:t xml:space="preserve">any meaningful light on his credibility </w:t>
      </w:r>
      <w:r w:rsidR="00E2010F" w:rsidRPr="00B64809">
        <w:t>as a witness had he testified.</w:t>
      </w:r>
    </w:p>
    <w:p w14:paraId="7DC0D38E" w14:textId="572E9191" w:rsidR="002E5371" w:rsidRPr="00B64809" w:rsidRDefault="002E5371">
      <w:r w:rsidRPr="00B64809">
        <w:t xml:space="preserve">In the court’s view, </w:t>
      </w:r>
      <w:r w:rsidR="00A22A15" w:rsidRPr="00B64809">
        <w:t xml:space="preserve">evidence of the </w:t>
      </w:r>
      <w:r w:rsidR="00E86383" w:rsidRPr="00B64809">
        <w:t xml:space="preserve">other sexual encounters which occurred both before and after those charged </w:t>
      </w:r>
      <w:r w:rsidR="009A3CE2" w:rsidRPr="00B64809">
        <w:t>in the indictment was unnecessar</w:t>
      </w:r>
      <w:r w:rsidR="00BF51AB" w:rsidRPr="00B64809">
        <w:t xml:space="preserve">y </w:t>
      </w:r>
      <w:r w:rsidR="00302282" w:rsidRPr="00B64809">
        <w:t xml:space="preserve">and unduly prejudicial </w:t>
      </w:r>
      <w:r w:rsidR="00BF51AB" w:rsidRPr="00B64809">
        <w:t xml:space="preserve">because the defendant’s intent to </w:t>
      </w:r>
      <w:r w:rsidR="00713252" w:rsidRPr="00B64809">
        <w:t>have forcible sex with the victims</w:t>
      </w:r>
      <w:r w:rsidR="00C21928" w:rsidRPr="00B64809">
        <w:t>, if</w:t>
      </w:r>
      <w:r w:rsidR="005C3C60" w:rsidRPr="00B64809">
        <w:t xml:space="preserve"> </w:t>
      </w:r>
      <w:r w:rsidR="005E421D" w:rsidRPr="00B64809">
        <w:t>believed</w:t>
      </w:r>
      <w:r w:rsidR="00C21928" w:rsidRPr="00B64809">
        <w:t xml:space="preserve"> </w:t>
      </w:r>
      <w:r w:rsidR="00BF5AC6" w:rsidRPr="00B64809">
        <w:t>by the jury</w:t>
      </w:r>
      <w:r w:rsidR="005E421D" w:rsidRPr="00B64809">
        <w:t>,</w:t>
      </w:r>
      <w:r w:rsidR="005C3C60" w:rsidRPr="00B64809">
        <w:t xml:space="preserve"> was readily inferable from the acts themselves</w:t>
      </w:r>
      <w:r w:rsidR="00B20711" w:rsidRPr="00B64809">
        <w:t xml:space="preserve">. Therefore, what was offered as </w:t>
      </w:r>
      <w:r w:rsidR="00B06BE6" w:rsidRPr="00B64809">
        <w:t>proof of</w:t>
      </w:r>
      <w:r w:rsidR="00B20711" w:rsidRPr="00B64809">
        <w:t xml:space="preserve"> </w:t>
      </w:r>
      <w:r w:rsidR="00CB7A79" w:rsidRPr="00B64809">
        <w:t xml:space="preserve">the defendant’s </w:t>
      </w:r>
      <w:r w:rsidR="00B20711" w:rsidRPr="00B64809">
        <w:t>intent</w:t>
      </w:r>
      <w:r w:rsidR="00B1691E" w:rsidRPr="00B64809">
        <w:t xml:space="preserve"> to engage in forcible sex</w:t>
      </w:r>
      <w:r w:rsidR="00B20711" w:rsidRPr="00B64809">
        <w:t xml:space="preserve"> and </w:t>
      </w:r>
      <w:r w:rsidR="005E421D" w:rsidRPr="00B64809">
        <w:t xml:space="preserve">knowledge of the </w:t>
      </w:r>
      <w:r w:rsidR="00BF5AC6" w:rsidRPr="00B64809">
        <w:t xml:space="preserve">absence </w:t>
      </w:r>
      <w:r w:rsidR="00E13B08" w:rsidRPr="00B64809">
        <w:t xml:space="preserve">of consent constituted impermissible evidence of </w:t>
      </w:r>
      <w:r w:rsidR="005949A0" w:rsidRPr="00B64809">
        <w:t>the defendant’s predisposition toward sexual violence (</w:t>
      </w:r>
      <w:r w:rsidR="005949A0" w:rsidRPr="00B64809">
        <w:rPr>
          <w:i/>
          <w:iCs/>
        </w:rPr>
        <w:t>People v Weinstein</w:t>
      </w:r>
      <w:r w:rsidR="005949A0" w:rsidRPr="00B64809">
        <w:t xml:space="preserve">, </w:t>
      </w:r>
      <w:r w:rsidR="00763652" w:rsidRPr="00B64809">
        <w:t xml:space="preserve">_NY3d_, </w:t>
      </w:r>
      <w:r w:rsidR="00A86534" w:rsidRPr="00B64809">
        <w:t>24 NY Slip Op 0222</w:t>
      </w:r>
      <w:r w:rsidR="00763652" w:rsidRPr="00B64809">
        <w:t>2</w:t>
      </w:r>
      <w:r w:rsidR="00A86534" w:rsidRPr="00B64809">
        <w:t xml:space="preserve"> [</w:t>
      </w:r>
      <w:r w:rsidR="00763652" w:rsidRPr="00B64809">
        <w:t>20</w:t>
      </w:r>
      <w:r w:rsidR="00A86534" w:rsidRPr="00B64809">
        <w:t>24</w:t>
      </w:r>
      <w:r w:rsidR="003655EC" w:rsidRPr="00B64809">
        <w:t>]</w:t>
      </w:r>
      <w:r w:rsidR="00EA22FD" w:rsidRPr="00B64809">
        <w:t>,</w:t>
      </w:r>
      <w:r w:rsidR="00E14091" w:rsidRPr="00B64809">
        <w:t xml:space="preserve"> citing </w:t>
      </w:r>
      <w:r w:rsidR="00E14091" w:rsidRPr="00B64809">
        <w:rPr>
          <w:i/>
          <w:iCs/>
        </w:rPr>
        <w:t>People v Molineux</w:t>
      </w:r>
      <w:r w:rsidR="00E14091" w:rsidRPr="00B64809">
        <w:t xml:space="preserve">, 168 NY </w:t>
      </w:r>
      <w:r w:rsidR="00F9414E" w:rsidRPr="00B64809">
        <w:t>264 [1901]).</w:t>
      </w:r>
    </w:p>
    <w:p w14:paraId="62069C56" w14:textId="0DF7EEE6" w:rsidR="00EA22FD" w:rsidRPr="00B64809" w:rsidRDefault="00CC4F09">
      <w:r w:rsidRPr="00B64809">
        <w:t xml:space="preserve">Moreover, </w:t>
      </w:r>
      <w:r w:rsidR="00B8666B" w:rsidRPr="00B64809">
        <w:t xml:space="preserve">the trial court’s decision to allow the prosecution to </w:t>
      </w:r>
      <w:r w:rsidR="00664968" w:rsidRPr="00B64809">
        <w:t xml:space="preserve">cross examine the defendant about the charged crimes, uncharged </w:t>
      </w:r>
      <w:r w:rsidR="006670E5" w:rsidRPr="00B64809">
        <w:t xml:space="preserve">sexual </w:t>
      </w:r>
      <w:r w:rsidR="00A94816" w:rsidRPr="00B64809">
        <w:t>encounters,</w:t>
      </w:r>
      <w:r w:rsidR="006670E5" w:rsidRPr="00B64809">
        <w:t xml:space="preserve"> and other bad acts that the Court described as “breathtakingly </w:t>
      </w:r>
      <w:r w:rsidR="001D29EE" w:rsidRPr="00B64809">
        <w:t xml:space="preserve">inclusive” of loathsome behavior </w:t>
      </w:r>
      <w:r w:rsidR="00E417EA" w:rsidRPr="00B64809">
        <w:t xml:space="preserve">not </w:t>
      </w:r>
      <w:r w:rsidR="008303EF" w:rsidRPr="00B64809">
        <w:t xml:space="preserve">particularly </w:t>
      </w:r>
      <w:r w:rsidR="00305136" w:rsidRPr="00B64809">
        <w:t>germane to credibility</w:t>
      </w:r>
      <w:r w:rsidR="00864D78" w:rsidRPr="00B64809">
        <w:t xml:space="preserve">, in </w:t>
      </w:r>
      <w:r w:rsidR="00ED4DB6" w:rsidRPr="00B64809">
        <w:t>con</w:t>
      </w:r>
      <w:r w:rsidR="00CA6A0E" w:rsidRPr="00B64809">
        <w:t>cert</w:t>
      </w:r>
      <w:r w:rsidR="00ED4DB6" w:rsidRPr="00B64809">
        <w:t xml:space="preserve"> with the </w:t>
      </w:r>
      <w:r w:rsidR="00ED4DB6" w:rsidRPr="00B64809">
        <w:rPr>
          <w:i/>
          <w:iCs/>
        </w:rPr>
        <w:t xml:space="preserve">Molineux </w:t>
      </w:r>
      <w:r w:rsidR="00ED4DB6" w:rsidRPr="00B64809">
        <w:t>ruling</w:t>
      </w:r>
      <w:r w:rsidR="00704AC0" w:rsidRPr="00B64809">
        <w:t xml:space="preserve">, </w:t>
      </w:r>
      <w:r w:rsidR="00ED4DB6" w:rsidRPr="00B64809">
        <w:t xml:space="preserve">deprived defendant of his right to </w:t>
      </w:r>
      <w:r w:rsidR="00E805DB" w:rsidRPr="00B64809">
        <w:t>a fair trial and the opportunity to present a</w:t>
      </w:r>
      <w:r w:rsidR="00CA6A0E" w:rsidRPr="00B64809">
        <w:t xml:space="preserve"> complete</w:t>
      </w:r>
      <w:r w:rsidR="00E805DB" w:rsidRPr="00B64809">
        <w:t xml:space="preserve"> defense</w:t>
      </w:r>
      <w:r w:rsidR="00CA6A0E" w:rsidRPr="00B64809">
        <w:t xml:space="preserve">. </w:t>
      </w:r>
      <w:r w:rsidR="001464B1" w:rsidRPr="00B64809">
        <w:t>(Citing</w:t>
      </w:r>
      <w:r w:rsidR="004253EC" w:rsidRPr="00B64809">
        <w:t xml:space="preserve">, inter alia, </w:t>
      </w:r>
      <w:r w:rsidR="004253EC" w:rsidRPr="00B64809">
        <w:rPr>
          <w:i/>
          <w:iCs/>
        </w:rPr>
        <w:t>People v Crimmins</w:t>
      </w:r>
      <w:r w:rsidR="004253EC" w:rsidRPr="00B64809">
        <w:t xml:space="preserve">, 36 NY2d </w:t>
      </w:r>
      <w:r w:rsidR="001B3BE0" w:rsidRPr="00B64809">
        <w:t>230 [1975]</w:t>
      </w:r>
      <w:r w:rsidR="00223217" w:rsidRPr="00B64809">
        <w:t xml:space="preserve">, </w:t>
      </w:r>
      <w:r w:rsidR="00A62122" w:rsidRPr="00B64809">
        <w:rPr>
          <w:i/>
          <w:iCs/>
        </w:rPr>
        <w:t>California</w:t>
      </w:r>
      <w:r w:rsidR="00223217" w:rsidRPr="00B64809">
        <w:rPr>
          <w:i/>
          <w:iCs/>
        </w:rPr>
        <w:t xml:space="preserve"> v Trombetta</w:t>
      </w:r>
      <w:r w:rsidR="00223217" w:rsidRPr="00B64809">
        <w:t xml:space="preserve">, </w:t>
      </w:r>
      <w:r w:rsidR="00AC6AC6" w:rsidRPr="00B64809">
        <w:t>467 US 479 [198</w:t>
      </w:r>
      <w:r w:rsidR="002F23B5" w:rsidRPr="00B64809">
        <w:t>4</w:t>
      </w:r>
      <w:r w:rsidR="00AC6AC6" w:rsidRPr="00B64809">
        <w:t xml:space="preserve">] and </w:t>
      </w:r>
      <w:r w:rsidR="00AC6AC6" w:rsidRPr="00B64809">
        <w:rPr>
          <w:i/>
          <w:iCs/>
        </w:rPr>
        <w:t>Crane v Kentuck</w:t>
      </w:r>
      <w:r w:rsidR="00A62122" w:rsidRPr="00B64809">
        <w:rPr>
          <w:i/>
          <w:iCs/>
        </w:rPr>
        <w:t>y</w:t>
      </w:r>
      <w:r w:rsidR="00A62122" w:rsidRPr="00B64809">
        <w:t>, 476 US</w:t>
      </w:r>
      <w:r w:rsidR="002F23B5" w:rsidRPr="00B64809">
        <w:t xml:space="preserve"> 683 [1985]).</w:t>
      </w:r>
    </w:p>
    <w:p w14:paraId="42FDB0FD" w14:textId="77777777" w:rsidR="0028502D" w:rsidRPr="00B64809" w:rsidRDefault="0028502D"/>
    <w:p w14:paraId="3B100E63" w14:textId="48F1A9FD" w:rsidR="0028502D" w:rsidRPr="00B64809" w:rsidRDefault="00EA2BC0">
      <w:r w:rsidRPr="00B64809">
        <w:t>THE C</w:t>
      </w:r>
      <w:r w:rsidR="00D57C6A" w:rsidRPr="00B64809">
        <w:t>HARGES</w:t>
      </w:r>
      <w:r w:rsidR="00C61901" w:rsidRPr="00B64809">
        <w:t xml:space="preserve"> AND</w:t>
      </w:r>
      <w:r w:rsidR="00316D69" w:rsidRPr="00B64809">
        <w:t xml:space="preserve"> COMPETING</w:t>
      </w:r>
      <w:r w:rsidR="00C61901" w:rsidRPr="00B64809">
        <w:t xml:space="preserve"> TH</w:t>
      </w:r>
      <w:r w:rsidR="00CD6CA0" w:rsidRPr="00B64809">
        <w:t>EORIES</w:t>
      </w:r>
      <w:r w:rsidR="00C61901" w:rsidRPr="00B64809">
        <w:t xml:space="preserve"> OF THE CASE</w:t>
      </w:r>
    </w:p>
    <w:p w14:paraId="0D4A0528" w14:textId="59081E93" w:rsidR="00D97DF0" w:rsidRPr="00B64809" w:rsidRDefault="00D97DF0">
      <w:r w:rsidRPr="00B64809">
        <w:t xml:space="preserve">The defendant was tried and </w:t>
      </w:r>
      <w:r w:rsidR="00292DBD" w:rsidRPr="00B64809">
        <w:t>convicted of</w:t>
      </w:r>
      <w:r w:rsidRPr="00B64809">
        <w:t xml:space="preserve"> Criminal Sex </w:t>
      </w:r>
      <w:r w:rsidR="005C439C" w:rsidRPr="00B64809">
        <w:t>Act 1</w:t>
      </w:r>
      <w:r w:rsidR="005C439C" w:rsidRPr="00B64809">
        <w:rPr>
          <w:vertAlign w:val="superscript"/>
        </w:rPr>
        <w:t>st</w:t>
      </w:r>
      <w:r w:rsidR="005C439C" w:rsidRPr="00B64809">
        <w:t xml:space="preserve"> degree and Rape 3</w:t>
      </w:r>
      <w:r w:rsidR="005C439C" w:rsidRPr="00B64809">
        <w:rPr>
          <w:vertAlign w:val="superscript"/>
        </w:rPr>
        <w:t>rd</w:t>
      </w:r>
      <w:r w:rsidR="005C439C" w:rsidRPr="00B64809">
        <w:t xml:space="preserve"> degree </w:t>
      </w:r>
      <w:r w:rsidR="005502CF" w:rsidRPr="00B64809">
        <w:t>(and acquitted of Rape 1</w:t>
      </w:r>
      <w:r w:rsidR="005502CF" w:rsidRPr="00B64809">
        <w:rPr>
          <w:vertAlign w:val="superscript"/>
        </w:rPr>
        <w:t>st</w:t>
      </w:r>
      <w:r w:rsidR="005502CF" w:rsidRPr="00B64809">
        <w:t xml:space="preserve"> degree </w:t>
      </w:r>
      <w:r w:rsidR="00CD6077" w:rsidRPr="00B64809">
        <w:t xml:space="preserve">and Predatory </w:t>
      </w:r>
      <w:r w:rsidR="00360DEF" w:rsidRPr="00B64809">
        <w:t>Sexu</w:t>
      </w:r>
      <w:r w:rsidR="00571F44" w:rsidRPr="00B64809">
        <w:t xml:space="preserve">al </w:t>
      </w:r>
      <w:r w:rsidR="00292DBD" w:rsidRPr="00B64809">
        <w:t>Assault)</w:t>
      </w:r>
      <w:r w:rsidR="00571F44" w:rsidRPr="00B64809">
        <w:t xml:space="preserve"> stemming from </w:t>
      </w:r>
      <w:r w:rsidR="00440686" w:rsidRPr="00B64809">
        <w:t xml:space="preserve">sexual encounters with two different </w:t>
      </w:r>
      <w:r w:rsidR="00E4365A" w:rsidRPr="00B64809">
        <w:t>victims (A and B) in 2006 and 2013 respectively after he allegedly raped an actress</w:t>
      </w:r>
      <w:r w:rsidR="00292DBD" w:rsidRPr="00B64809">
        <w:t xml:space="preserve"> (C)</w:t>
      </w:r>
      <w:r w:rsidR="00E4365A" w:rsidRPr="00B64809">
        <w:t xml:space="preserve"> in </w:t>
      </w:r>
      <w:r w:rsidR="0097363F" w:rsidRPr="00B64809">
        <w:t>the early 1990’s</w:t>
      </w:r>
      <w:r w:rsidR="00292DBD" w:rsidRPr="00B64809">
        <w:t xml:space="preserve">. He was sentenced to a determinate state prison term of 23 </w:t>
      </w:r>
      <w:r w:rsidR="00472E03" w:rsidRPr="00B64809">
        <w:t>years followed by 5 years of post-release supervision</w:t>
      </w:r>
      <w:r w:rsidR="00ED1A9C" w:rsidRPr="00B64809">
        <w:t xml:space="preserve"> (PRS). (He is currently </w:t>
      </w:r>
      <w:r w:rsidR="00B64AB0" w:rsidRPr="00B64809">
        <w:t>serving a</w:t>
      </w:r>
      <w:r w:rsidR="00ED1A9C" w:rsidRPr="00B64809">
        <w:t xml:space="preserve"> 16-year</w:t>
      </w:r>
      <w:r w:rsidR="007602A8" w:rsidRPr="00B64809">
        <w:t>-</w:t>
      </w:r>
      <w:r w:rsidR="00ED1A9C" w:rsidRPr="00B64809">
        <w:t xml:space="preserve">sentence in California for similar crimes </w:t>
      </w:r>
      <w:r w:rsidR="00B64AB0" w:rsidRPr="00B64809">
        <w:t xml:space="preserve">committed there. </w:t>
      </w:r>
      <w:r w:rsidR="00CB7295" w:rsidRPr="00B64809">
        <w:t>An</w:t>
      </w:r>
      <w:r w:rsidR="00B64AB0" w:rsidRPr="00B64809">
        <w:t xml:space="preserve"> appeal is pending).</w:t>
      </w:r>
    </w:p>
    <w:p w14:paraId="236BC674" w14:textId="4911E7C3" w:rsidR="00B64AB0" w:rsidRPr="00B64809" w:rsidRDefault="00E67CFF">
      <w:r w:rsidRPr="00B64809">
        <w:lastRenderedPageBreak/>
        <w:t xml:space="preserve">The People’s theory was that Weinstein </w:t>
      </w:r>
      <w:r w:rsidR="00BD3A58" w:rsidRPr="00B64809">
        <w:t xml:space="preserve">orchestrated private encounters with </w:t>
      </w:r>
      <w:r w:rsidR="00FD6E01" w:rsidRPr="00B64809">
        <w:t>aspiring actresses in either his hotel room or apartment in Manhattan</w:t>
      </w:r>
      <w:r w:rsidR="00CD14AD" w:rsidRPr="00B64809">
        <w:t>,</w:t>
      </w:r>
      <w:r w:rsidR="00FD6E01" w:rsidRPr="00B64809">
        <w:t xml:space="preserve"> </w:t>
      </w:r>
      <w:r w:rsidR="005216B5" w:rsidRPr="00B64809">
        <w:t>wherein on the pretext of helping them with their careers</w:t>
      </w:r>
      <w:r w:rsidR="00CD14AD" w:rsidRPr="00B64809">
        <w:t xml:space="preserve">, </w:t>
      </w:r>
      <w:r w:rsidR="007402D3" w:rsidRPr="00B64809">
        <w:t>had</w:t>
      </w:r>
      <w:r w:rsidR="00DB55CE" w:rsidRPr="00B64809">
        <w:t xml:space="preserve"> non-consensual</w:t>
      </w:r>
      <w:r w:rsidR="007402D3" w:rsidRPr="00B64809">
        <w:t xml:space="preserve"> sex with them </w:t>
      </w:r>
      <w:r w:rsidR="00871D38" w:rsidRPr="00B64809">
        <w:t>by use of</w:t>
      </w:r>
      <w:r w:rsidR="00DB55CE" w:rsidRPr="00B64809">
        <w:t xml:space="preserve"> phy</w:t>
      </w:r>
      <w:r w:rsidR="00A94279" w:rsidRPr="00B64809">
        <w:t>sical force</w:t>
      </w:r>
      <w:r w:rsidR="00E54541" w:rsidRPr="00B64809">
        <w:t xml:space="preserve"> (</w:t>
      </w:r>
      <w:r w:rsidR="00A760BC" w:rsidRPr="00B64809">
        <w:t xml:space="preserve">e.g., </w:t>
      </w:r>
      <w:r w:rsidR="00E54541" w:rsidRPr="00B64809">
        <w:t xml:space="preserve">blocking their exit, </w:t>
      </w:r>
      <w:r w:rsidR="00A760BC" w:rsidRPr="00B64809">
        <w:t xml:space="preserve">pulling them into the bedroom, throwing them on the </w:t>
      </w:r>
      <w:r w:rsidR="00DD3CB9" w:rsidRPr="00B64809">
        <w:t>bed) to</w:t>
      </w:r>
      <w:r w:rsidR="00A94279" w:rsidRPr="00B64809">
        <w:t xml:space="preserve"> overcome their resistance. </w:t>
      </w:r>
    </w:p>
    <w:p w14:paraId="472A9347" w14:textId="7E2A2102" w:rsidR="00DD3CB9" w:rsidRPr="00B64809" w:rsidRDefault="00DD3CB9">
      <w:r w:rsidRPr="00B64809">
        <w:t>The defense, by contrast, argued that the defendant believed these</w:t>
      </w:r>
      <w:r w:rsidR="007423A5" w:rsidRPr="00B64809">
        <w:t xml:space="preserve"> li</w:t>
      </w:r>
      <w:r w:rsidR="008114E1" w:rsidRPr="00B64809">
        <w:t>aisons</w:t>
      </w:r>
      <w:r w:rsidRPr="00B64809">
        <w:t xml:space="preserve"> to be </w:t>
      </w:r>
      <w:r w:rsidR="001F5EBA" w:rsidRPr="00B64809">
        <w:t xml:space="preserve">consensual sexual transactions in which the complainants willingly </w:t>
      </w:r>
      <w:r w:rsidR="005B07FB" w:rsidRPr="00B64809">
        <w:t>traded sexual favors for the promise of</w:t>
      </w:r>
      <w:r w:rsidR="004D3E74" w:rsidRPr="00B64809">
        <w:t xml:space="preserve"> help </w:t>
      </w:r>
      <w:r w:rsidR="002F18CB" w:rsidRPr="00B64809">
        <w:t>with their</w:t>
      </w:r>
      <w:r w:rsidR="005B07FB" w:rsidRPr="00B64809">
        <w:t xml:space="preserve"> careers (one got a job a</w:t>
      </w:r>
      <w:r w:rsidR="00E14096" w:rsidRPr="00B64809">
        <w:t>s a production assistant on a television show)</w:t>
      </w:r>
      <w:r w:rsidR="004D3E74" w:rsidRPr="00B64809">
        <w:t xml:space="preserve"> and entrée into the glamorous world </w:t>
      </w:r>
      <w:r w:rsidR="009D024D" w:rsidRPr="00B64809">
        <w:t xml:space="preserve">of Hollywood (including </w:t>
      </w:r>
      <w:r w:rsidR="000B3688" w:rsidRPr="00B64809">
        <w:t xml:space="preserve">attending exclusive Academy Award </w:t>
      </w:r>
      <w:r w:rsidR="007423A5" w:rsidRPr="00B64809">
        <w:t>receptions</w:t>
      </w:r>
      <w:r w:rsidR="002F18CB" w:rsidRPr="00B64809">
        <w:t xml:space="preserve">, </w:t>
      </w:r>
      <w:r w:rsidR="007423A5" w:rsidRPr="00B64809">
        <w:t xml:space="preserve">and </w:t>
      </w:r>
      <w:r w:rsidR="00871D38" w:rsidRPr="00B64809">
        <w:t>travelling overseas</w:t>
      </w:r>
      <w:r w:rsidR="007423A5" w:rsidRPr="00B64809">
        <w:t xml:space="preserve"> with </w:t>
      </w:r>
      <w:r w:rsidR="00674A1C" w:rsidRPr="00B64809">
        <w:t>one of the most powerful men in show business</w:t>
      </w:r>
      <w:r w:rsidR="007423A5" w:rsidRPr="00B64809">
        <w:t>).</w:t>
      </w:r>
    </w:p>
    <w:p w14:paraId="7347F479" w14:textId="6A5A58EA" w:rsidR="00C61901" w:rsidRPr="00B64809" w:rsidRDefault="008C1DCC">
      <w:r w:rsidRPr="00B64809">
        <w:t>THE CASE AGAINST WEINSTEIN</w:t>
      </w:r>
    </w:p>
    <w:p w14:paraId="31399BB9" w14:textId="5333175C" w:rsidR="00674A1C" w:rsidRPr="00B64809" w:rsidRDefault="004A5532">
      <w:r w:rsidRPr="00B64809">
        <w:t xml:space="preserve">Victim A testified that she had met Weinstein in 2004 </w:t>
      </w:r>
      <w:r w:rsidR="00E75F5D" w:rsidRPr="00B64809">
        <w:t>in his hotel room to discuss a job opportunity</w:t>
      </w:r>
      <w:r w:rsidR="00DA4F2F" w:rsidRPr="00B64809">
        <w:t xml:space="preserve">. He commented on her body and asked for a massage which she refused. </w:t>
      </w:r>
      <w:r w:rsidR="00724624" w:rsidRPr="00B64809">
        <w:t>A week later</w:t>
      </w:r>
      <w:r w:rsidR="00D34E6C" w:rsidRPr="00B64809">
        <w:t>,</w:t>
      </w:r>
      <w:r w:rsidR="00724624" w:rsidRPr="00B64809">
        <w:t xml:space="preserve"> he invited her to travel abroad with him and </w:t>
      </w:r>
      <w:r w:rsidR="00D32A42" w:rsidRPr="00B64809">
        <w:t>on one occasion, barged into her apartment.</w:t>
      </w:r>
    </w:p>
    <w:p w14:paraId="13D18BBD" w14:textId="263EAC19" w:rsidR="00D32A42" w:rsidRPr="00B64809" w:rsidRDefault="00D32A42">
      <w:r w:rsidRPr="00B64809">
        <w:t xml:space="preserve">Two years later, he invited </w:t>
      </w:r>
      <w:r w:rsidR="00582114" w:rsidRPr="00B64809">
        <w:t>her</w:t>
      </w:r>
      <w:r w:rsidRPr="00B64809">
        <w:t xml:space="preserve"> to a movie premiere </w:t>
      </w:r>
      <w:r w:rsidR="0021751C" w:rsidRPr="00B64809">
        <w:t xml:space="preserve">in Los Angeles. The night before in New York City, </w:t>
      </w:r>
      <w:r w:rsidR="00582114" w:rsidRPr="00B64809">
        <w:t xml:space="preserve">he invited her to his apartment where he </w:t>
      </w:r>
      <w:r w:rsidR="00C90C6C" w:rsidRPr="00B64809">
        <w:t xml:space="preserve">tried to kiss her, which she rebuffed. He then pulled her toward him and </w:t>
      </w:r>
      <w:r w:rsidR="00E94C8A" w:rsidRPr="00B64809">
        <w:t xml:space="preserve">groped her after which he took her into the bedroom </w:t>
      </w:r>
      <w:r w:rsidR="00BE72B5" w:rsidRPr="00B64809">
        <w:t xml:space="preserve">and pushed her onto the bed. As she </w:t>
      </w:r>
      <w:r w:rsidR="005724E0" w:rsidRPr="00B64809">
        <w:t xml:space="preserve">resisted, he held down her wrists, pressed down with his </w:t>
      </w:r>
      <w:r w:rsidR="00595D73" w:rsidRPr="00B64809">
        <w:t xml:space="preserve">considerable </w:t>
      </w:r>
      <w:r w:rsidR="005724E0" w:rsidRPr="00B64809">
        <w:t>girth and</w:t>
      </w:r>
      <w:r w:rsidR="00C64275" w:rsidRPr="00B64809">
        <w:t>,</w:t>
      </w:r>
      <w:r w:rsidR="005724E0" w:rsidRPr="00B64809">
        <w:t xml:space="preserve"> </w:t>
      </w:r>
      <w:r w:rsidR="00ED0987" w:rsidRPr="00B64809">
        <w:t>after she relented, performed an act of oral sex.</w:t>
      </w:r>
    </w:p>
    <w:p w14:paraId="256450BF" w14:textId="614F8CB9" w:rsidR="009A4DD5" w:rsidRPr="00B64809" w:rsidRDefault="00076B82">
      <w:r w:rsidRPr="00B64809">
        <w:t xml:space="preserve">Sometime after the LA trip, he had sexual intercourse with her </w:t>
      </w:r>
      <w:r w:rsidR="001A7E14" w:rsidRPr="00B64809">
        <w:t>(this time without physical resistance</w:t>
      </w:r>
      <w:r w:rsidR="00F2310D" w:rsidRPr="00B64809">
        <w:t xml:space="preserve">) and called her derogatory names. </w:t>
      </w:r>
      <w:r w:rsidR="00210DE6" w:rsidRPr="00B64809">
        <w:t>She said that despite her confusion and embarrassment</w:t>
      </w:r>
      <w:r w:rsidR="00793D94" w:rsidRPr="00B64809">
        <w:t xml:space="preserve">, she continued to maintain a professional relationship with Weinstein because she </w:t>
      </w:r>
      <w:r w:rsidR="003D012A" w:rsidRPr="00B64809">
        <w:t>wanted employment.</w:t>
      </w:r>
    </w:p>
    <w:p w14:paraId="17D309FA" w14:textId="2CBFDF9B" w:rsidR="003D012A" w:rsidRPr="00B64809" w:rsidRDefault="003D012A">
      <w:r w:rsidRPr="00B64809">
        <w:t>Over the next couple of years</w:t>
      </w:r>
      <w:r w:rsidR="00710547" w:rsidRPr="00B64809">
        <w:t xml:space="preserve">, she met with him in London to “pitch an idea,” </w:t>
      </w:r>
      <w:r w:rsidR="00310455" w:rsidRPr="00B64809">
        <w:t>and sent him e-mails thanking him for his support with “lots of love.”</w:t>
      </w:r>
    </w:p>
    <w:p w14:paraId="58A5BDE4" w14:textId="4B03F7BB" w:rsidR="0077413D" w:rsidRPr="00B64809" w:rsidRDefault="0077413D">
      <w:r w:rsidRPr="00B64809">
        <w:t>Victim B met Weinstein at a party in 2013</w:t>
      </w:r>
      <w:r w:rsidR="004F3769" w:rsidRPr="00B64809">
        <w:t xml:space="preserve">. After expressing interest in her career, he took her to an Academy Award dinner </w:t>
      </w:r>
      <w:r w:rsidR="00E95A62" w:rsidRPr="00B64809">
        <w:t>and later invited her to his hotel roo</w:t>
      </w:r>
      <w:r w:rsidR="0089434B" w:rsidRPr="00B64809">
        <w:t xml:space="preserve">m where he tried to kiss her “like crazy.” </w:t>
      </w:r>
      <w:r w:rsidR="009B0DAF" w:rsidRPr="00B64809">
        <w:t>Thereafter, she tried to establish a “real relationship” with him which in</w:t>
      </w:r>
      <w:r w:rsidR="00E45959" w:rsidRPr="00B64809">
        <w:t xml:space="preserve">volved several sexual </w:t>
      </w:r>
      <w:r w:rsidR="00634F38" w:rsidRPr="00B64809">
        <w:t xml:space="preserve">encounters. On one occasion, he attempted to inveigle into </w:t>
      </w:r>
      <w:r w:rsidR="009C4CC8" w:rsidRPr="00B64809">
        <w:t xml:space="preserve">her into a </w:t>
      </w:r>
      <w:r w:rsidR="003C6D10" w:rsidRPr="00B64809">
        <w:t>menage-a-trois</w:t>
      </w:r>
      <w:r w:rsidR="00634F38" w:rsidRPr="00B64809">
        <w:t xml:space="preserve"> </w:t>
      </w:r>
      <w:r w:rsidR="00990871" w:rsidRPr="00B64809">
        <w:t xml:space="preserve">with another actress which they both declined. </w:t>
      </w:r>
    </w:p>
    <w:p w14:paraId="288F58D8" w14:textId="33494A41" w:rsidR="009C4CC8" w:rsidRPr="00B64809" w:rsidRDefault="009C4CC8">
      <w:r w:rsidRPr="00B64809">
        <w:t xml:space="preserve">Sometime later, </w:t>
      </w:r>
      <w:r w:rsidR="0030607D" w:rsidRPr="00B64809">
        <w:t xml:space="preserve">at a Manhattan hotel, Weinstein invited her to his room </w:t>
      </w:r>
      <w:r w:rsidR="00012EA3" w:rsidRPr="00B64809">
        <w:t xml:space="preserve">and asked for sex for which she said there was “no time.”  He then blocked her exit, </w:t>
      </w:r>
      <w:r w:rsidR="00A01CCA" w:rsidRPr="00B64809">
        <w:t>told her to undress</w:t>
      </w:r>
      <w:r w:rsidR="0016534C" w:rsidRPr="00B64809">
        <w:t>. H</w:t>
      </w:r>
      <w:r w:rsidR="00E87E62" w:rsidRPr="00B64809">
        <w:t>e</w:t>
      </w:r>
      <w:r w:rsidR="0016534C" w:rsidRPr="00B64809">
        <w:t xml:space="preserve"> directed her to get on the bed where he </w:t>
      </w:r>
      <w:r w:rsidR="00492B2F" w:rsidRPr="00B64809">
        <w:t>had sex with her against her wishes</w:t>
      </w:r>
      <w:r w:rsidR="00D83ADA" w:rsidRPr="00B64809">
        <w:t>.</w:t>
      </w:r>
      <w:r w:rsidR="005650AC" w:rsidRPr="00B64809">
        <w:t xml:space="preserve"> She said he also had forcible sex with her in a LA hotel room.</w:t>
      </w:r>
    </w:p>
    <w:p w14:paraId="170787F0" w14:textId="6A1F3635" w:rsidR="007A64FF" w:rsidRPr="00B64809" w:rsidRDefault="007A64FF">
      <w:r w:rsidRPr="00B64809">
        <w:t>She said she maintained a relationship with Weinstein (which included occasional sexual encounters</w:t>
      </w:r>
      <w:r w:rsidR="004D0206" w:rsidRPr="00B64809">
        <w:t xml:space="preserve"> and </w:t>
      </w:r>
      <w:r w:rsidR="005128FB" w:rsidRPr="00B64809">
        <w:t>friendly emails</w:t>
      </w:r>
      <w:r w:rsidRPr="00B64809">
        <w:t xml:space="preserve">) </w:t>
      </w:r>
      <w:r w:rsidR="00781BEF" w:rsidRPr="00B64809">
        <w:t>out of fear for her safety and to maintai</w:t>
      </w:r>
      <w:r w:rsidR="00CE56A4" w:rsidRPr="00B64809">
        <w:t xml:space="preserve">n her professional prospects. When he later learned that she was seeing another actor, he reportedly told her that she </w:t>
      </w:r>
      <w:r w:rsidR="00886444" w:rsidRPr="00B64809">
        <w:t xml:space="preserve">  </w:t>
      </w:r>
      <w:r w:rsidR="00CE56A4" w:rsidRPr="00B64809">
        <w:t xml:space="preserve">owed him </w:t>
      </w:r>
      <w:r w:rsidR="00763652" w:rsidRPr="00B64809">
        <w:t xml:space="preserve">“one </w:t>
      </w:r>
      <w:r w:rsidR="00CE56A4" w:rsidRPr="00B64809">
        <w:t>more time</w:t>
      </w:r>
      <w:r w:rsidR="00763652" w:rsidRPr="00B64809">
        <w:t>” (</w:t>
      </w:r>
      <w:r w:rsidR="00763652" w:rsidRPr="00B64809">
        <w:rPr>
          <w:i/>
          <w:iCs/>
        </w:rPr>
        <w:t>Id</w:t>
      </w:r>
      <w:r w:rsidR="00763652" w:rsidRPr="00B64809">
        <w:t>., at *4)</w:t>
      </w:r>
      <w:r w:rsidR="00CE56A4" w:rsidRPr="00B64809">
        <w:t xml:space="preserve">. </w:t>
      </w:r>
    </w:p>
    <w:p w14:paraId="28B8609D" w14:textId="0A52B244" w:rsidR="0074632F" w:rsidRPr="00B64809" w:rsidRDefault="00F63FAC">
      <w:r w:rsidRPr="00B64809">
        <w:t>Victim C</w:t>
      </w:r>
      <w:r w:rsidR="002A085E" w:rsidRPr="00B64809">
        <w:t>, a veteran actress testified t</w:t>
      </w:r>
      <w:r w:rsidR="00C31928" w:rsidRPr="00B64809">
        <w:t>hat Weinstein raped her in her New York City apartment in 1994</w:t>
      </w:r>
      <w:r w:rsidR="0036121A" w:rsidRPr="00B64809">
        <w:t xml:space="preserve"> which was not reported until </w:t>
      </w:r>
      <w:r w:rsidR="00806C3B" w:rsidRPr="00B64809">
        <w:t xml:space="preserve">years later when the above-referenced matters came into public </w:t>
      </w:r>
      <w:r w:rsidR="00806C3B" w:rsidRPr="00B64809">
        <w:lastRenderedPageBreak/>
        <w:t>light</w:t>
      </w:r>
      <w:r w:rsidR="00C630B0" w:rsidRPr="00B64809">
        <w:t xml:space="preserve">. He continued to solicit her attention </w:t>
      </w:r>
      <w:r w:rsidR="0086573E" w:rsidRPr="00B64809">
        <w:t>after the incident and had her act in a movie that his company was producing</w:t>
      </w:r>
      <w:r w:rsidR="00493B7F" w:rsidRPr="00B64809">
        <w:t>. (She said that she was unaware of the producer until after-the fact).</w:t>
      </w:r>
    </w:p>
    <w:p w14:paraId="4F21260C" w14:textId="71A4D1A2" w:rsidR="00493B7F" w:rsidRPr="00B64809" w:rsidRDefault="00A90B09">
      <w:r w:rsidRPr="00B64809">
        <w:t xml:space="preserve">THE </w:t>
      </w:r>
      <w:r w:rsidRPr="00B64809">
        <w:rPr>
          <w:i/>
          <w:iCs/>
        </w:rPr>
        <w:t>MOLINEUX</w:t>
      </w:r>
      <w:r w:rsidRPr="00B64809">
        <w:t xml:space="preserve"> WITNESSES </w:t>
      </w:r>
    </w:p>
    <w:p w14:paraId="1A540094" w14:textId="68ABEF18" w:rsidR="00761A5B" w:rsidRPr="00B64809" w:rsidRDefault="00C50853">
      <w:r w:rsidRPr="00B64809">
        <w:t>Victim 1 testified that she met the defendant</w:t>
      </w:r>
      <w:r w:rsidR="00E54098" w:rsidRPr="00B64809">
        <w:t xml:space="preserve"> in </w:t>
      </w:r>
      <w:r w:rsidR="00BC0240" w:rsidRPr="00B64809">
        <w:t>2004 in</w:t>
      </w:r>
      <w:r w:rsidRPr="00B64809">
        <w:t xml:space="preserve"> a New York</w:t>
      </w:r>
      <w:r w:rsidR="00545B23" w:rsidRPr="00B64809">
        <w:t xml:space="preserve"> City</w:t>
      </w:r>
      <w:r w:rsidRPr="00B64809">
        <w:t xml:space="preserve"> night club where he </w:t>
      </w:r>
      <w:r w:rsidR="00E54098" w:rsidRPr="00B64809">
        <w:t xml:space="preserve">offered to help with her career. </w:t>
      </w:r>
      <w:r w:rsidR="00BC0240" w:rsidRPr="00B64809">
        <w:t xml:space="preserve">She later met him in a hotel room for a “networking event” </w:t>
      </w:r>
      <w:r w:rsidR="00130D2C" w:rsidRPr="00B64809">
        <w:t xml:space="preserve">which devolved into a groping </w:t>
      </w:r>
      <w:r w:rsidR="004C6063" w:rsidRPr="00B64809">
        <w:t xml:space="preserve">incident that made her recoil. </w:t>
      </w:r>
      <w:r w:rsidR="000C5D99" w:rsidRPr="00B64809">
        <w:t xml:space="preserve">A few weeks later, he met her in another hotel room, dressed only in a bathrobe. </w:t>
      </w:r>
      <w:r w:rsidR="002432AA" w:rsidRPr="00B64809">
        <w:t xml:space="preserve">He said he would get her work only if she had sex with him </w:t>
      </w:r>
      <w:r w:rsidR="005E6531" w:rsidRPr="00B64809">
        <w:t xml:space="preserve">and his assistant. After she refused, he said, </w:t>
      </w:r>
      <w:r w:rsidR="005119EF" w:rsidRPr="00B64809">
        <w:t>“you’ll never make it in this business if you don’t change your attitude.”</w:t>
      </w:r>
    </w:p>
    <w:p w14:paraId="30E6D68E" w14:textId="306AA414" w:rsidR="005119EF" w:rsidRPr="00B64809" w:rsidRDefault="005119EF">
      <w:r w:rsidRPr="00B64809">
        <w:t>Victim 2</w:t>
      </w:r>
      <w:r w:rsidR="007E3658" w:rsidRPr="00B64809">
        <w:t>, a waitress/</w:t>
      </w:r>
      <w:r w:rsidR="0059198B" w:rsidRPr="00B64809">
        <w:t xml:space="preserve"> “</w:t>
      </w:r>
      <w:r w:rsidR="009E6D8A" w:rsidRPr="00B64809">
        <w:t>want-to-be</w:t>
      </w:r>
      <w:r w:rsidR="0059198B" w:rsidRPr="00B64809">
        <w:t xml:space="preserve">” </w:t>
      </w:r>
      <w:r w:rsidR="007E3658" w:rsidRPr="00B64809">
        <w:t>actress</w:t>
      </w:r>
      <w:r w:rsidR="00712127" w:rsidRPr="00B64809">
        <w:t xml:space="preserve">, </w:t>
      </w:r>
      <w:r w:rsidR="007E3658" w:rsidRPr="00B64809">
        <w:t>met Weinstein</w:t>
      </w:r>
      <w:r w:rsidR="007B75A6" w:rsidRPr="00B64809">
        <w:t xml:space="preserve"> in 2005</w:t>
      </w:r>
      <w:r w:rsidR="007E3658" w:rsidRPr="00B64809">
        <w:t xml:space="preserve"> </w:t>
      </w:r>
      <w:r w:rsidR="00034C83" w:rsidRPr="00B64809">
        <w:t xml:space="preserve">in a lounge where he gave her </w:t>
      </w:r>
      <w:r w:rsidR="000632F3" w:rsidRPr="00B64809">
        <w:t xml:space="preserve">his </w:t>
      </w:r>
      <w:r w:rsidR="00034C83" w:rsidRPr="00B64809">
        <w:t xml:space="preserve">contact information. He then escorted her to </w:t>
      </w:r>
      <w:r w:rsidR="00712127" w:rsidRPr="00B64809">
        <w:t>a secluded</w:t>
      </w:r>
      <w:r w:rsidR="00606460" w:rsidRPr="00B64809">
        <w:t xml:space="preserve"> terrace where he pushed up against her and started to pleasure himself. </w:t>
      </w:r>
      <w:r w:rsidR="00927A7A" w:rsidRPr="00B64809">
        <w:t xml:space="preserve">A couple of weeks later, she was invited to read for a </w:t>
      </w:r>
      <w:r w:rsidR="00740B10" w:rsidRPr="00B64809">
        <w:t xml:space="preserve">part but was told upon arrival at the studio that </w:t>
      </w:r>
      <w:r w:rsidR="00A1123A" w:rsidRPr="00B64809">
        <w:t>Mr.</w:t>
      </w:r>
      <w:r w:rsidR="00740B10" w:rsidRPr="00B64809">
        <w:t xml:space="preserve"> Weinstein wanted to see her at his apartment. </w:t>
      </w:r>
      <w:r w:rsidR="00605471" w:rsidRPr="00B64809">
        <w:t>When she arrived, he dragged her into the bedroom, threw her down on the bed and raped her</w:t>
      </w:r>
      <w:r w:rsidR="00A1123A" w:rsidRPr="00B64809">
        <w:t xml:space="preserve">. </w:t>
      </w:r>
      <w:r w:rsidR="00442292" w:rsidRPr="00B64809">
        <w:t xml:space="preserve">He then brought </w:t>
      </w:r>
      <w:r w:rsidR="0009280D" w:rsidRPr="00B64809">
        <w:t>her</w:t>
      </w:r>
      <w:r w:rsidR="00442292" w:rsidRPr="00B64809">
        <w:t xml:space="preserve"> back to the studio. She did not get the part.</w:t>
      </w:r>
    </w:p>
    <w:p w14:paraId="7F89A648" w14:textId="2CB38530" w:rsidR="007B75A6" w:rsidRPr="00B64809" w:rsidRDefault="00372538">
      <w:r w:rsidRPr="00B64809">
        <w:t>Victim 3</w:t>
      </w:r>
      <w:r w:rsidR="00247D16" w:rsidRPr="00B64809">
        <w:t xml:space="preserve">, an actress, was introduced to Weinstein in LA in 2013. </w:t>
      </w:r>
      <w:r w:rsidR="002B3B15" w:rsidRPr="00B64809">
        <w:t xml:space="preserve">He invited her to his hotel room </w:t>
      </w:r>
      <w:r w:rsidR="00763652" w:rsidRPr="00B64809">
        <w:t>w</w:t>
      </w:r>
      <w:r w:rsidR="002B3B15" w:rsidRPr="00B64809">
        <w:t xml:space="preserve">here he </w:t>
      </w:r>
      <w:r w:rsidR="009D6C6D" w:rsidRPr="00B64809">
        <w:t>led her to the bathroom, pulled down her dress and ma</w:t>
      </w:r>
      <w:r w:rsidR="004607B7" w:rsidRPr="00B64809">
        <w:t>sturbated. When she protested, he replied, “ho</w:t>
      </w:r>
      <w:r w:rsidR="00F547F7" w:rsidRPr="00B64809">
        <w:t>w else can I know if you can act.”</w:t>
      </w:r>
    </w:p>
    <w:p w14:paraId="1F67DB63" w14:textId="40C4B06A" w:rsidR="00F547F7" w:rsidRPr="00B64809" w:rsidRDefault="00F547F7">
      <w:r w:rsidRPr="00B64809">
        <w:t xml:space="preserve">At the conclusion of these witnesses, the trial court </w:t>
      </w:r>
      <w:r w:rsidR="00235417" w:rsidRPr="00B64809">
        <w:t xml:space="preserve">instructed the jury that their testimony was admitted </w:t>
      </w:r>
      <w:r w:rsidR="00A24A74" w:rsidRPr="00B64809">
        <w:t xml:space="preserve">on the issues of whether the defendant intended to engage in </w:t>
      </w:r>
      <w:r w:rsidR="002504AC" w:rsidRPr="00B64809">
        <w:t xml:space="preserve">the sex acts complained of and </w:t>
      </w:r>
      <w:r w:rsidR="009E52CC" w:rsidRPr="00B64809">
        <w:t xml:space="preserve">the victims </w:t>
      </w:r>
      <w:r w:rsidR="00897998" w:rsidRPr="00B64809">
        <w:t xml:space="preserve">consented. (The final instructions included the issues of forcible compulsion and lack of consent). </w:t>
      </w:r>
    </w:p>
    <w:p w14:paraId="10036BC2" w14:textId="13F53542" w:rsidR="00D55F14" w:rsidRPr="00B64809" w:rsidRDefault="00D55F14">
      <w:r w:rsidRPr="00B64809">
        <w:t xml:space="preserve">The People were also permitted to call a </w:t>
      </w:r>
      <w:r w:rsidR="004B67FC" w:rsidRPr="00B64809">
        <w:t xml:space="preserve">forensic psychologist to testify about counter-intuitive </w:t>
      </w:r>
      <w:r w:rsidR="000D6240" w:rsidRPr="00B64809">
        <w:t xml:space="preserve">behaviors of </w:t>
      </w:r>
      <w:r w:rsidR="004B67FC" w:rsidRPr="00B64809">
        <w:t>sexual assault victims</w:t>
      </w:r>
      <w:r w:rsidR="00B92E02" w:rsidRPr="00B64809">
        <w:t xml:space="preserve"> (e.g., maintaining a relationship with their offenders</w:t>
      </w:r>
      <w:r w:rsidR="002E0911" w:rsidRPr="00B64809">
        <w:t xml:space="preserve">) and </w:t>
      </w:r>
      <w:r w:rsidR="000D6240" w:rsidRPr="00B64809">
        <w:t xml:space="preserve">to dispel certain “rape-myths” (e.g., that most rapes are committee by strangers), and </w:t>
      </w:r>
      <w:r w:rsidR="001A4688" w:rsidRPr="00B64809">
        <w:t xml:space="preserve">the defense was allowed to call an expert on the effects of trauma on </w:t>
      </w:r>
      <w:r w:rsidR="00FD6BD0" w:rsidRPr="00B64809">
        <w:t>human memory.</w:t>
      </w:r>
    </w:p>
    <w:p w14:paraId="786E5F39" w14:textId="0032B2CA" w:rsidR="00FD6BD0" w:rsidRPr="00B64809" w:rsidRDefault="000340B9">
      <w:r w:rsidRPr="00B64809">
        <w:t>AD AFFIRMS</w:t>
      </w:r>
    </w:p>
    <w:p w14:paraId="3D4BF99C" w14:textId="430EDFFB" w:rsidR="000340B9" w:rsidRPr="00B64809" w:rsidRDefault="000340B9">
      <w:r w:rsidRPr="00B64809">
        <w:t xml:space="preserve">The First Department </w:t>
      </w:r>
      <w:r w:rsidR="007A48AB" w:rsidRPr="00B64809">
        <w:t>(207 AD3d 33 [1</w:t>
      </w:r>
      <w:r w:rsidR="007A48AB" w:rsidRPr="00B64809">
        <w:rPr>
          <w:vertAlign w:val="superscript"/>
        </w:rPr>
        <w:t>st</w:t>
      </w:r>
      <w:r w:rsidR="007A48AB" w:rsidRPr="00B64809">
        <w:t xml:space="preserve"> Dept </w:t>
      </w:r>
      <w:r w:rsidR="00B9205B" w:rsidRPr="00B64809">
        <w:t>2022</w:t>
      </w:r>
      <w:r w:rsidR="00763652" w:rsidRPr="00B64809">
        <w:t>]</w:t>
      </w:r>
      <w:r w:rsidR="00B9205B" w:rsidRPr="00B64809">
        <w:t xml:space="preserve">) </w:t>
      </w:r>
      <w:r w:rsidRPr="00B64809">
        <w:t>affirmed the convictions</w:t>
      </w:r>
      <w:r w:rsidR="00B9205B" w:rsidRPr="00B64809">
        <w:t>,</w:t>
      </w:r>
      <w:r w:rsidRPr="00B64809">
        <w:t xml:space="preserve"> </w:t>
      </w:r>
      <w:r w:rsidR="005119BF" w:rsidRPr="00B64809">
        <w:t xml:space="preserve">finding that the trial court did not abuse its discretion in admitting the </w:t>
      </w:r>
      <w:r w:rsidR="005119BF" w:rsidRPr="00B64809">
        <w:rPr>
          <w:i/>
          <w:iCs/>
        </w:rPr>
        <w:t>Molineux</w:t>
      </w:r>
      <w:r w:rsidR="005119BF" w:rsidRPr="00B64809">
        <w:t xml:space="preserve"> evidence </w:t>
      </w:r>
      <w:r w:rsidR="007A48AB" w:rsidRPr="00B64809">
        <w:t>and in ruling that the defen</w:t>
      </w:r>
      <w:r w:rsidR="00B9205B" w:rsidRPr="00B64809">
        <w:t>se could cross examine the defendant</w:t>
      </w:r>
      <w:r w:rsidR="00480959" w:rsidRPr="00B64809">
        <w:t xml:space="preserve"> about</w:t>
      </w:r>
      <w:r w:rsidR="00B9205B" w:rsidRPr="00B64809">
        <w:t xml:space="preserve">  the above-referenced conduct </w:t>
      </w:r>
      <w:r w:rsidR="00480959" w:rsidRPr="00B64809">
        <w:t>as well other bad acts including</w:t>
      </w:r>
      <w:r w:rsidR="009A400E" w:rsidRPr="00B64809">
        <w:t xml:space="preserve"> that the defendant allegedly: </w:t>
      </w:r>
      <w:r w:rsidR="00EC4BAC" w:rsidRPr="00B64809">
        <w:t xml:space="preserve">directed a witness to lie to his wife, </w:t>
      </w:r>
      <w:r w:rsidR="00A42E1D" w:rsidRPr="00B64809">
        <w:t xml:space="preserve">applied for a passport with a false social security number, </w:t>
      </w:r>
      <w:r w:rsidR="006E51C5" w:rsidRPr="00B64809">
        <w:t xml:space="preserve">told a woman he could ruin her professionally </w:t>
      </w:r>
      <w:r w:rsidR="00707B36" w:rsidRPr="00B64809">
        <w:t xml:space="preserve">after which he offered her a book deal, withdrew from a business </w:t>
      </w:r>
      <w:r w:rsidR="00851C08" w:rsidRPr="00B64809">
        <w:t xml:space="preserve">deal </w:t>
      </w:r>
      <w:r w:rsidR="00707B36" w:rsidRPr="00B64809">
        <w:t>and encouraged others to pull their financi</w:t>
      </w:r>
      <w:r w:rsidR="00212746" w:rsidRPr="00B64809">
        <w:t>ng,  hi</w:t>
      </w:r>
      <w:r w:rsidR="00DF1B13" w:rsidRPr="00B64809">
        <w:t>d</w:t>
      </w:r>
      <w:r w:rsidR="00212746" w:rsidRPr="00B64809">
        <w:t xml:space="preserve"> a woman’s clothes, forced his staff to superimpose an actresses’ head</w:t>
      </w:r>
      <w:r w:rsidR="00473493" w:rsidRPr="00B64809">
        <w:t>-</w:t>
      </w:r>
      <w:r w:rsidR="00212746" w:rsidRPr="00B64809">
        <w:t>shot ont</w:t>
      </w:r>
      <w:r w:rsidR="00473493" w:rsidRPr="00B64809">
        <w:t xml:space="preserve">o a photo of another  </w:t>
      </w:r>
      <w:r w:rsidR="008F62DA" w:rsidRPr="00B64809">
        <w:t>woman’s</w:t>
      </w:r>
      <w:r w:rsidR="00DF1B13" w:rsidRPr="00B64809">
        <w:t xml:space="preserve"> nude</w:t>
      </w:r>
      <w:r w:rsidR="008F62DA" w:rsidRPr="00B64809">
        <w:t xml:space="preserve"> body </w:t>
      </w:r>
      <w:r w:rsidR="00212746" w:rsidRPr="00B64809">
        <w:t>for a movie poster</w:t>
      </w:r>
      <w:r w:rsidR="008F62DA" w:rsidRPr="00B64809">
        <w:t xml:space="preserve">, </w:t>
      </w:r>
      <w:r w:rsidR="00C97CBB" w:rsidRPr="00B64809">
        <w:t xml:space="preserve">scheduled a meeting with a woman under false pretenses, </w:t>
      </w:r>
      <w:r w:rsidR="002F7960" w:rsidRPr="00B64809">
        <w:t xml:space="preserve">threatened employees, threw food at a restaurant, </w:t>
      </w:r>
      <w:r w:rsidR="000071AE" w:rsidRPr="00B64809">
        <w:t>threated to cut off a colleague’s private parts and assaulted his own brother in a meeting.</w:t>
      </w:r>
    </w:p>
    <w:p w14:paraId="12161205" w14:textId="31F9A62E" w:rsidR="000071AE" w:rsidRPr="00B64809" w:rsidRDefault="00506708">
      <w:r w:rsidRPr="00B64809">
        <w:t xml:space="preserve">The court held that the </w:t>
      </w:r>
      <w:r w:rsidRPr="00B64809">
        <w:rPr>
          <w:i/>
          <w:iCs/>
        </w:rPr>
        <w:t>Molineux</w:t>
      </w:r>
      <w:r w:rsidRPr="00B64809">
        <w:t xml:space="preserve"> evidence was relevant to show that </w:t>
      </w:r>
      <w:r w:rsidR="00B129A4" w:rsidRPr="00B64809">
        <w:t xml:space="preserve">the defendant </w:t>
      </w:r>
      <w:r w:rsidR="004E4644" w:rsidRPr="00B64809">
        <w:t>knew or</w:t>
      </w:r>
      <w:r w:rsidR="009A503E" w:rsidRPr="00B64809">
        <w:t xml:space="preserve"> should have known </w:t>
      </w:r>
      <w:r w:rsidR="00B129A4" w:rsidRPr="00B64809">
        <w:t xml:space="preserve">from his past experiences with unwilling actresses that the victims </w:t>
      </w:r>
      <w:r w:rsidR="009A503E" w:rsidRPr="00B64809">
        <w:t xml:space="preserve">of the charged </w:t>
      </w:r>
      <w:r w:rsidR="009A503E" w:rsidRPr="00B64809">
        <w:lastRenderedPageBreak/>
        <w:t xml:space="preserve">crimes would </w:t>
      </w:r>
      <w:r w:rsidR="006627A0" w:rsidRPr="00B64809">
        <w:t xml:space="preserve">not consent to have sex with him </w:t>
      </w:r>
      <w:r w:rsidR="00741626" w:rsidRPr="00B64809">
        <w:t xml:space="preserve">as a quid-pro-quo for career assistance </w:t>
      </w:r>
      <w:r w:rsidR="00A47BFC" w:rsidRPr="00B64809">
        <w:t xml:space="preserve">absent the use of forcible compulsion. </w:t>
      </w:r>
      <w:r w:rsidR="00551EA2" w:rsidRPr="00B64809">
        <w:t xml:space="preserve">In the court’s view, their consent was irrelevant to the defendant </w:t>
      </w:r>
      <w:r w:rsidR="00213FC4" w:rsidRPr="00B64809">
        <w:t xml:space="preserve">whose only interest in them was sexual. </w:t>
      </w:r>
    </w:p>
    <w:p w14:paraId="680406D1" w14:textId="77777777" w:rsidR="00702BA8" w:rsidRPr="00B64809" w:rsidRDefault="00702BA8"/>
    <w:p w14:paraId="28C0C843" w14:textId="710DCCF9" w:rsidR="00702BA8" w:rsidRPr="00B64809" w:rsidRDefault="00702BA8">
      <w:r w:rsidRPr="00B64809">
        <w:t xml:space="preserve">COURT OF APPEALS REVERSES </w:t>
      </w:r>
    </w:p>
    <w:p w14:paraId="72BB938A" w14:textId="0B25C54D" w:rsidR="00B736FC" w:rsidRPr="00B64809" w:rsidRDefault="00B72F9A">
      <w:r w:rsidRPr="00B64809">
        <w:t xml:space="preserve">The Court held that the dual rulings had a “synergistic” effect </w:t>
      </w:r>
      <w:r w:rsidR="00C766D4" w:rsidRPr="00B64809">
        <w:t xml:space="preserve">of bolstering the victims’ testimony with impermissible propensity evidence </w:t>
      </w:r>
      <w:r w:rsidR="006D790E" w:rsidRPr="00B64809">
        <w:t xml:space="preserve">and </w:t>
      </w:r>
      <w:r w:rsidR="00D057FB" w:rsidRPr="00B64809">
        <w:t xml:space="preserve">in </w:t>
      </w:r>
      <w:r w:rsidR="00E47686" w:rsidRPr="00B64809">
        <w:t>thwarting</w:t>
      </w:r>
      <w:r w:rsidR="00D057FB" w:rsidRPr="00B64809">
        <w:t xml:space="preserve"> his right to present a defense (i.e., testify) by the threat of cross examination about </w:t>
      </w:r>
      <w:r w:rsidR="00EA027A" w:rsidRPr="00B64809">
        <w:t xml:space="preserve">many </w:t>
      </w:r>
      <w:r w:rsidR="00D057FB" w:rsidRPr="00B64809">
        <w:t xml:space="preserve">prior bad acts that painted him as an odious creature </w:t>
      </w:r>
      <w:r w:rsidR="00F77A8F" w:rsidRPr="00B64809">
        <w:t xml:space="preserve">worthy of </w:t>
      </w:r>
      <w:r w:rsidR="003D7F70" w:rsidRPr="00B64809">
        <w:t xml:space="preserve">revulsion and </w:t>
      </w:r>
      <w:r w:rsidR="00F77A8F" w:rsidRPr="00B64809">
        <w:t>contempt rather than just disbelief</w:t>
      </w:r>
      <w:r w:rsidR="00763652" w:rsidRPr="00B64809">
        <w:t xml:space="preserve"> </w:t>
      </w:r>
      <w:r w:rsidR="00FB3B5C" w:rsidRPr="00B64809">
        <w:t>(</w:t>
      </w:r>
      <w:r w:rsidR="00763652" w:rsidRPr="00B64809">
        <w:t>c</w:t>
      </w:r>
      <w:r w:rsidR="00FB3B5C" w:rsidRPr="00B64809">
        <w:t xml:space="preserve">iting, inter alia, </w:t>
      </w:r>
      <w:r w:rsidR="00FB3B5C" w:rsidRPr="00B64809">
        <w:rPr>
          <w:i/>
          <w:iCs/>
        </w:rPr>
        <w:t xml:space="preserve">People v </w:t>
      </w:r>
      <w:r w:rsidR="0011158E" w:rsidRPr="00B64809">
        <w:rPr>
          <w:i/>
          <w:iCs/>
        </w:rPr>
        <w:t>Grant</w:t>
      </w:r>
      <w:r w:rsidR="0011158E" w:rsidRPr="00B64809">
        <w:t>, 7 NY3d 421 [2006]</w:t>
      </w:r>
      <w:r w:rsidR="00D81BD8" w:rsidRPr="00B64809">
        <w:t xml:space="preserve">, </w:t>
      </w:r>
      <w:r w:rsidR="00D81BD8" w:rsidRPr="00B64809">
        <w:rPr>
          <w:i/>
          <w:iCs/>
        </w:rPr>
        <w:t>People v Wing</w:t>
      </w:r>
      <w:r w:rsidR="00D81BD8" w:rsidRPr="00B64809">
        <w:t>, 63 NY2d 754 [1984]).</w:t>
      </w:r>
    </w:p>
    <w:p w14:paraId="0E6F549F" w14:textId="2DA70FA0" w:rsidR="00FB71C0" w:rsidRPr="00B64809" w:rsidRDefault="00FB71C0">
      <w:r w:rsidRPr="00B64809">
        <w:t xml:space="preserve">Noting that the entire case turned on the victims’ credibility </w:t>
      </w:r>
      <w:r w:rsidR="002C2D3C" w:rsidRPr="00B64809">
        <w:t>(which the defense attacked</w:t>
      </w:r>
      <w:r w:rsidR="009B5AB6" w:rsidRPr="00B64809">
        <w:t xml:space="preserve">, in </w:t>
      </w:r>
      <w:r w:rsidR="00B60800" w:rsidRPr="00B64809">
        <w:t>part, by</w:t>
      </w:r>
      <w:r w:rsidR="002C2D3C" w:rsidRPr="00B64809">
        <w:t xml:space="preserve"> </w:t>
      </w:r>
      <w:r w:rsidR="009B5AB6" w:rsidRPr="00B64809">
        <w:t xml:space="preserve">highlighting their self-serving motives and continued contact with Weinstein), </w:t>
      </w:r>
      <w:r w:rsidR="00C45CDD" w:rsidRPr="00B64809">
        <w:t xml:space="preserve">the court deemed it an abuse of discretion </w:t>
      </w:r>
      <w:r w:rsidR="00A0084B" w:rsidRPr="00B64809">
        <w:t xml:space="preserve">to admit untested allegations </w:t>
      </w:r>
      <w:r w:rsidR="0017630B" w:rsidRPr="00B64809">
        <w:t xml:space="preserve">of bad behavior which </w:t>
      </w:r>
      <w:r w:rsidR="000B371F" w:rsidRPr="00B64809">
        <w:t xml:space="preserve">effectively </w:t>
      </w:r>
      <w:r w:rsidR="006A7874" w:rsidRPr="00B64809">
        <w:t>de</w:t>
      </w:r>
      <w:r w:rsidR="000B371F" w:rsidRPr="00B64809">
        <w:t>cimated</w:t>
      </w:r>
      <w:r w:rsidR="006A7874" w:rsidRPr="00B64809">
        <w:t xml:space="preserve"> the defendant’s character </w:t>
      </w:r>
      <w:r w:rsidR="00E439F1" w:rsidRPr="00B64809">
        <w:t xml:space="preserve">but shed </w:t>
      </w:r>
      <w:r w:rsidR="00AF1673" w:rsidRPr="00B64809">
        <w:t>little if any</w:t>
      </w:r>
      <w:r w:rsidR="00E439F1" w:rsidRPr="00B64809">
        <w:t xml:space="preserve"> light on relevant issues in the case and </w:t>
      </w:r>
      <w:r w:rsidR="00B60800" w:rsidRPr="00B64809">
        <w:t>had little bearing on his credibility.</w:t>
      </w:r>
    </w:p>
    <w:p w14:paraId="5F468034" w14:textId="77777777" w:rsidR="001F4517" w:rsidRPr="00B64809" w:rsidRDefault="001F4517"/>
    <w:p w14:paraId="5E8FD7F2" w14:textId="47338CE1" w:rsidR="001F4517" w:rsidRPr="00B64809" w:rsidRDefault="001F4517">
      <w:r w:rsidRPr="00B64809">
        <w:t>BLISTERING DISSENTS</w:t>
      </w:r>
    </w:p>
    <w:p w14:paraId="4C3531C9" w14:textId="6A214F90" w:rsidR="001F4517" w:rsidRPr="00B64809" w:rsidRDefault="001F4517">
      <w:r w:rsidRPr="00B64809">
        <w:t>The dissenting judges (</w:t>
      </w:r>
      <w:proofErr w:type="spellStart"/>
      <w:r w:rsidRPr="00B64809">
        <w:t>Singas</w:t>
      </w:r>
      <w:proofErr w:type="spellEnd"/>
      <w:r w:rsidRPr="00B64809">
        <w:t xml:space="preserve">, J. and </w:t>
      </w:r>
      <w:r w:rsidR="000578CF" w:rsidRPr="00B64809">
        <w:t>Cannata</w:t>
      </w:r>
      <w:r w:rsidR="00513E0D" w:rsidRPr="00B64809">
        <w:t>ro</w:t>
      </w:r>
      <w:r w:rsidR="000578CF" w:rsidRPr="00B64809">
        <w:t xml:space="preserve">, J,), laid into the majority for setting back </w:t>
      </w:r>
      <w:r w:rsidR="00495B5E" w:rsidRPr="00B64809">
        <w:t xml:space="preserve">hard-won advances in </w:t>
      </w:r>
      <w:r w:rsidR="00857678" w:rsidRPr="00B64809">
        <w:t xml:space="preserve">Evidence </w:t>
      </w:r>
      <w:r w:rsidR="008A6B03" w:rsidRPr="00B64809">
        <w:t xml:space="preserve">Law </w:t>
      </w:r>
      <w:r w:rsidR="008B036F" w:rsidRPr="00B64809">
        <w:t xml:space="preserve">based </w:t>
      </w:r>
      <w:r w:rsidR="00797A99" w:rsidRPr="00B64809">
        <w:t>on outdated</w:t>
      </w:r>
      <w:r w:rsidR="008A6B03" w:rsidRPr="00B64809">
        <w:t xml:space="preserve"> and stereotypical notions </w:t>
      </w:r>
      <w:r w:rsidR="00EF3F58" w:rsidRPr="00B64809">
        <w:t>that ignore</w:t>
      </w:r>
      <w:r w:rsidR="00751F2F" w:rsidRPr="00B64809">
        <w:t xml:space="preserve"> or misapprehend</w:t>
      </w:r>
      <w:r w:rsidR="00EF3F58" w:rsidRPr="00B64809">
        <w:t xml:space="preserve"> the dynamics and complexities of </w:t>
      </w:r>
      <w:r w:rsidR="002654E0" w:rsidRPr="00B64809">
        <w:t xml:space="preserve">sexual offenses involving parties who </w:t>
      </w:r>
      <w:r w:rsidR="00EF3F58" w:rsidRPr="00B64809">
        <w:t>know each other</w:t>
      </w:r>
      <w:r w:rsidR="00370835" w:rsidRPr="00B64809">
        <w:t xml:space="preserve"> and experience an imbal</w:t>
      </w:r>
      <w:r w:rsidR="00797A99" w:rsidRPr="00B64809">
        <w:t xml:space="preserve">ance of power </w:t>
      </w:r>
      <w:r w:rsidR="006C6B90" w:rsidRPr="00B64809">
        <w:t>between them</w:t>
      </w:r>
      <w:r w:rsidR="00763652" w:rsidRPr="00B64809">
        <w:t xml:space="preserve"> </w:t>
      </w:r>
      <w:r w:rsidR="007222F1" w:rsidRPr="00B64809">
        <w:t>(</w:t>
      </w:r>
      <w:r w:rsidR="00763652" w:rsidRPr="00B64809">
        <w:t>c</w:t>
      </w:r>
      <w:r w:rsidR="007222F1" w:rsidRPr="00B64809">
        <w:t xml:space="preserve">iting, inter alia, People v Taylor, </w:t>
      </w:r>
      <w:r w:rsidR="009B668F" w:rsidRPr="00B64809">
        <w:t>75 NY2d 277 [1990]).</w:t>
      </w:r>
    </w:p>
    <w:p w14:paraId="30723C03" w14:textId="3740A6C3" w:rsidR="003C1018" w:rsidRPr="00B64809" w:rsidRDefault="00F80B82">
      <w:r w:rsidRPr="00B64809">
        <w:t>The dissenters were baffled by the majority’s d</w:t>
      </w:r>
      <w:r w:rsidR="00ED53CF" w:rsidRPr="00B64809">
        <w:t>etermination that the uncharged sexual assaults were not relevant (as opposed to unfairly prejudicial) because, in their view, th</w:t>
      </w:r>
      <w:r w:rsidR="0048579C" w:rsidRPr="00B64809">
        <w:t xml:space="preserve">ose incidents tended to dispel the defense’s theory that </w:t>
      </w:r>
      <w:r w:rsidR="00F134C7" w:rsidRPr="00B64809">
        <w:t xml:space="preserve">the defendant believed that </w:t>
      </w:r>
      <w:r w:rsidR="002D0C3D" w:rsidRPr="00B64809">
        <w:t xml:space="preserve">the victims of the charged crimes consented to having sex with him </w:t>
      </w:r>
      <w:r w:rsidR="003649ED" w:rsidRPr="00B64809">
        <w:t>in exchange for the career boost that he could provide them.</w:t>
      </w:r>
    </w:p>
    <w:p w14:paraId="2BEDA198" w14:textId="4F1C80EC" w:rsidR="003649ED" w:rsidRPr="00B64809" w:rsidRDefault="003649ED">
      <w:r w:rsidRPr="00B64809">
        <w:t xml:space="preserve">As the dissenter’s saw it, </w:t>
      </w:r>
      <w:r w:rsidR="00895340" w:rsidRPr="00B64809">
        <w:t xml:space="preserve">since </w:t>
      </w:r>
      <w:r w:rsidR="00344B99" w:rsidRPr="00B64809">
        <w:t xml:space="preserve">a good-faith belief </w:t>
      </w:r>
      <w:r w:rsidR="00386CFC" w:rsidRPr="00B64809">
        <w:t xml:space="preserve">(in consent) can negate </w:t>
      </w:r>
      <w:r w:rsidR="00F148B1" w:rsidRPr="00B64809">
        <w:t xml:space="preserve">the </w:t>
      </w:r>
      <w:proofErr w:type="spellStart"/>
      <w:r w:rsidR="00F148B1" w:rsidRPr="00B64809">
        <w:t>mens</w:t>
      </w:r>
      <w:proofErr w:type="spellEnd"/>
      <w:r w:rsidR="00F148B1" w:rsidRPr="00B64809">
        <w:t xml:space="preserve"> rea element of the crime, the jury, in theory at least, could have </w:t>
      </w:r>
      <w:r w:rsidR="005A3299" w:rsidRPr="00B64809">
        <w:t xml:space="preserve">credited </w:t>
      </w:r>
      <w:r w:rsidR="00F148B1" w:rsidRPr="00B64809">
        <w:t>the victims</w:t>
      </w:r>
      <w:r w:rsidR="005A3299" w:rsidRPr="00B64809">
        <w:t xml:space="preserve">’ testimony </w:t>
      </w:r>
      <w:r w:rsidR="003E4DB4" w:rsidRPr="00B64809">
        <w:t>and</w:t>
      </w:r>
      <w:r w:rsidR="0071342A" w:rsidRPr="00B64809">
        <w:t xml:space="preserve"> </w:t>
      </w:r>
      <w:r w:rsidR="003E4DB4" w:rsidRPr="00B64809">
        <w:t xml:space="preserve">still </w:t>
      </w:r>
      <w:r w:rsidR="0071342A" w:rsidRPr="00B64809">
        <w:t>conclude</w:t>
      </w:r>
      <w:r w:rsidR="00DC39B7" w:rsidRPr="00B64809">
        <w:t xml:space="preserve"> </w:t>
      </w:r>
      <w:r w:rsidR="005A3299" w:rsidRPr="00B64809">
        <w:t>that the defenda</w:t>
      </w:r>
      <w:r w:rsidR="00DC39B7" w:rsidRPr="00B64809">
        <w:t>nt honestly thought that he had their consent (</w:t>
      </w:r>
      <w:r w:rsidR="006917F4" w:rsidRPr="00B64809">
        <w:t xml:space="preserve">based on their </w:t>
      </w:r>
      <w:r w:rsidR="0071342A" w:rsidRPr="00B64809">
        <w:t>desire to advance their careers).</w:t>
      </w:r>
    </w:p>
    <w:p w14:paraId="61250C9B" w14:textId="55CB903D" w:rsidR="0071342A" w:rsidRPr="00B64809" w:rsidRDefault="0071342A">
      <w:r w:rsidRPr="00B64809">
        <w:t xml:space="preserve">Consequently, </w:t>
      </w:r>
      <w:r w:rsidR="000F1371" w:rsidRPr="00B64809">
        <w:t xml:space="preserve">since the defendant’s mental state </w:t>
      </w:r>
      <w:r w:rsidR="000271E6" w:rsidRPr="00B64809">
        <w:t>and the issue of consent were squarely in issue</w:t>
      </w:r>
      <w:r w:rsidR="00090EA4" w:rsidRPr="00B64809">
        <w:t xml:space="preserve"> in a case where the </w:t>
      </w:r>
      <w:r w:rsidR="00E64995" w:rsidRPr="00B64809">
        <w:t xml:space="preserve">defense attacked the victims’ credibility </w:t>
      </w:r>
      <w:r w:rsidR="00EC23B1" w:rsidRPr="00B64809">
        <w:t xml:space="preserve">(by suggesting they consented for self-serving reasons and continued to </w:t>
      </w:r>
      <w:r w:rsidR="002C0541" w:rsidRPr="00B64809">
        <w:t>engage with the defendant), the</w:t>
      </w:r>
      <w:r w:rsidR="00616B3C" w:rsidRPr="00B64809">
        <w:t xml:space="preserve"> other incidents were relevant to show that the defendant had to know from </w:t>
      </w:r>
      <w:r w:rsidR="009C328B" w:rsidRPr="00B64809">
        <w:t>experience</w:t>
      </w:r>
      <w:r w:rsidR="00616B3C" w:rsidRPr="00B64809">
        <w:t xml:space="preserve"> </w:t>
      </w:r>
      <w:r w:rsidR="00DF1EBD" w:rsidRPr="00B64809">
        <w:t xml:space="preserve">that </w:t>
      </w:r>
      <w:r w:rsidR="00986064" w:rsidRPr="00B64809">
        <w:t xml:space="preserve">force </w:t>
      </w:r>
      <w:r w:rsidR="00662E55" w:rsidRPr="00B64809">
        <w:t xml:space="preserve">would be necessary to accomplish his singular objective. </w:t>
      </w:r>
    </w:p>
    <w:p w14:paraId="162940A0" w14:textId="154798DF" w:rsidR="0071593D" w:rsidRPr="00B64809" w:rsidRDefault="0071593D">
      <w:r w:rsidRPr="00B64809">
        <w:t xml:space="preserve">Consequently, in the dissenters’ view, these prior acts were probative of the defendant’s intent to </w:t>
      </w:r>
      <w:r w:rsidR="00767165" w:rsidRPr="00B64809">
        <w:t xml:space="preserve">engage in sex by forcible compulsion and of his </w:t>
      </w:r>
      <w:r w:rsidR="00DA5528" w:rsidRPr="00B64809">
        <w:t>knowledge that consent was not forthcoming.</w:t>
      </w:r>
      <w:r w:rsidR="00046AB0" w:rsidRPr="00B64809">
        <w:t xml:space="preserve"> As the </w:t>
      </w:r>
      <w:r w:rsidR="00920909" w:rsidRPr="00B64809">
        <w:t>dissent</w:t>
      </w:r>
      <w:r w:rsidR="00846032" w:rsidRPr="00B64809">
        <w:t xml:space="preserve"> (</w:t>
      </w:r>
      <w:proofErr w:type="spellStart"/>
      <w:r w:rsidR="00846032" w:rsidRPr="00B64809">
        <w:t>Singas</w:t>
      </w:r>
      <w:proofErr w:type="spellEnd"/>
      <w:r w:rsidR="00A4324E" w:rsidRPr="00B64809">
        <w:t>, J.</w:t>
      </w:r>
      <w:r w:rsidR="00846032" w:rsidRPr="00B64809">
        <w:t>)</w:t>
      </w:r>
      <w:r w:rsidR="00920909" w:rsidRPr="00B64809">
        <w:t xml:space="preserve"> observed, </w:t>
      </w:r>
      <w:r w:rsidR="00B20D51" w:rsidRPr="00B64809">
        <w:t>“these</w:t>
      </w:r>
      <w:r w:rsidR="00920909" w:rsidRPr="00B64809">
        <w:t xml:space="preserve"> </w:t>
      </w:r>
      <w:r w:rsidR="00920909" w:rsidRPr="00B64809">
        <w:rPr>
          <w:i/>
          <w:iCs/>
        </w:rPr>
        <w:t>Molineux</w:t>
      </w:r>
      <w:r w:rsidR="00920909" w:rsidRPr="00B64809">
        <w:t xml:space="preserve"> witnesses</w:t>
      </w:r>
      <w:r w:rsidR="00B15CAF" w:rsidRPr="00B64809">
        <w:t xml:space="preserve">’ negative reactions to the defendant’s </w:t>
      </w:r>
      <w:r w:rsidR="00B15CAF" w:rsidRPr="00B64809">
        <w:lastRenderedPageBreak/>
        <w:t xml:space="preserve">sexual advances </w:t>
      </w:r>
      <w:r w:rsidR="008B761F" w:rsidRPr="00B64809">
        <w:t xml:space="preserve">elucidated for the jury that the defendant was fully aware that he could not assume </w:t>
      </w:r>
      <w:r w:rsidR="00B14A2A" w:rsidRPr="00B64809">
        <w:t xml:space="preserve">consent simply because they crossed the threshold </w:t>
      </w:r>
      <w:r w:rsidR="00083479" w:rsidRPr="00B64809">
        <w:t>into his apartment or hotel room”</w:t>
      </w:r>
      <w:r w:rsidR="00A4324E" w:rsidRPr="00B64809">
        <w:t xml:space="preserve"> (</w:t>
      </w:r>
      <w:r w:rsidR="00763652" w:rsidRPr="00B64809">
        <w:rPr>
          <w:i/>
          <w:iCs/>
        </w:rPr>
        <w:t>Id</w:t>
      </w:r>
      <w:r w:rsidR="00763652" w:rsidRPr="00B64809">
        <w:t xml:space="preserve">., at *23, </w:t>
      </w:r>
      <w:r w:rsidR="00A4324E" w:rsidRPr="00B64809">
        <w:t>c</w:t>
      </w:r>
      <w:r w:rsidR="00D07335" w:rsidRPr="00B64809">
        <w:t xml:space="preserve">iting, inter alia, </w:t>
      </w:r>
      <w:r w:rsidR="00D07335" w:rsidRPr="00B64809">
        <w:rPr>
          <w:i/>
          <w:iCs/>
        </w:rPr>
        <w:t>People v Bradley</w:t>
      </w:r>
      <w:r w:rsidR="00D07335" w:rsidRPr="00B64809">
        <w:t xml:space="preserve">, </w:t>
      </w:r>
      <w:r w:rsidR="007844A6" w:rsidRPr="00B64809">
        <w:t xml:space="preserve">20 NY3d 128 [2012]). </w:t>
      </w:r>
    </w:p>
    <w:p w14:paraId="4FE711A4" w14:textId="3812DD57" w:rsidR="00B20D51" w:rsidRPr="00B64809" w:rsidRDefault="00B20D51">
      <w:r w:rsidRPr="00B64809">
        <w:t>Similarly, the other dissenter</w:t>
      </w:r>
      <w:r w:rsidR="003A3BE8" w:rsidRPr="00B64809">
        <w:t xml:space="preserve"> </w:t>
      </w:r>
      <w:r w:rsidRPr="00B64809">
        <w:t>noted</w:t>
      </w:r>
      <w:r w:rsidR="00AC3CB5" w:rsidRPr="00B64809">
        <w:t xml:space="preserve"> that the (</w:t>
      </w:r>
      <w:r w:rsidR="00873939" w:rsidRPr="00B64809">
        <w:rPr>
          <w:i/>
          <w:iCs/>
        </w:rPr>
        <w:t>Molineux</w:t>
      </w:r>
      <w:r w:rsidR="00AC3CB5" w:rsidRPr="00B64809">
        <w:t>) evidence</w:t>
      </w:r>
      <w:r w:rsidR="00DA7F65" w:rsidRPr="00B64809">
        <w:t xml:space="preserve"> was properly </w:t>
      </w:r>
      <w:r w:rsidR="00094F92" w:rsidRPr="00B64809">
        <w:t xml:space="preserve">admitted </w:t>
      </w:r>
      <w:r w:rsidR="0022780C" w:rsidRPr="00B64809">
        <w:t>showing</w:t>
      </w:r>
      <w:r w:rsidR="00873939" w:rsidRPr="00B64809">
        <w:t xml:space="preserve"> that the sex was not transactional (as the defense alleged)</w:t>
      </w:r>
      <w:r w:rsidR="00611D61" w:rsidRPr="00B64809">
        <w:t xml:space="preserve"> but was part of</w:t>
      </w:r>
      <w:r w:rsidR="00AC01E6" w:rsidRPr="00B64809">
        <w:t xml:space="preserve"> </w:t>
      </w:r>
      <w:r w:rsidR="00E67883" w:rsidRPr="00B64809">
        <w:t xml:space="preserve">situations devised by the defendant to engage in </w:t>
      </w:r>
      <w:r w:rsidR="0022780C" w:rsidRPr="00B64809">
        <w:t>sex with</w:t>
      </w:r>
      <w:r w:rsidR="005B550E" w:rsidRPr="00B64809">
        <w:t xml:space="preserve"> the victims </w:t>
      </w:r>
      <w:r w:rsidR="00E67883" w:rsidRPr="00B64809">
        <w:t xml:space="preserve">regardless of </w:t>
      </w:r>
      <w:r w:rsidR="005B550E" w:rsidRPr="00B64809">
        <w:t>their consent.</w:t>
      </w:r>
    </w:p>
    <w:p w14:paraId="0798197B" w14:textId="208FEDD1" w:rsidR="00094F92" w:rsidRPr="00B64809" w:rsidRDefault="00094F92">
      <w:r w:rsidRPr="00B64809">
        <w:t>Both dissenters agreed that the trial court d</w:t>
      </w:r>
      <w:r w:rsidR="00763652" w:rsidRPr="00B64809">
        <w:t>i</w:t>
      </w:r>
      <w:r w:rsidRPr="00B64809">
        <w:t xml:space="preserve">d not abuse its discretion </w:t>
      </w:r>
      <w:r w:rsidR="0022780C" w:rsidRPr="00B64809">
        <w:t>in its Sandoval rulings since the bad acts were either directly probative of dishonesty or demonstrated the defendant</w:t>
      </w:r>
      <w:r w:rsidR="001E1C2A" w:rsidRPr="00B64809">
        <w:t xml:space="preserve">’s </w:t>
      </w:r>
      <w:r w:rsidR="00EA44B8" w:rsidRPr="00B64809">
        <w:t>willingness</w:t>
      </w:r>
      <w:r w:rsidR="001E1C2A" w:rsidRPr="00B64809">
        <w:t xml:space="preserve"> to advance his own </w:t>
      </w:r>
      <w:r w:rsidR="00A4324E" w:rsidRPr="00B64809">
        <w:t>self-interest</w:t>
      </w:r>
      <w:r w:rsidR="001E1C2A" w:rsidRPr="00B64809">
        <w:t xml:space="preserve"> of that of others. </w:t>
      </w:r>
    </w:p>
    <w:p w14:paraId="09EC1FF8" w14:textId="77777777" w:rsidR="003B5ED2" w:rsidRPr="00B64809" w:rsidRDefault="003B5ED2"/>
    <w:p w14:paraId="07E87490" w14:textId="62D3AE37" w:rsidR="003B5ED2" w:rsidRPr="00B64809" w:rsidRDefault="005962FA">
      <w:r w:rsidRPr="00B64809">
        <w:t xml:space="preserve">PENULTIMATE </w:t>
      </w:r>
      <w:r w:rsidR="003B5ED2" w:rsidRPr="00B64809">
        <w:t>THOUGHT</w:t>
      </w:r>
    </w:p>
    <w:p w14:paraId="08195AF2" w14:textId="389018CC" w:rsidR="00EA44B8" w:rsidRPr="00B64809" w:rsidRDefault="0069771A">
      <w:r w:rsidRPr="00B64809">
        <w:t xml:space="preserve">After, </w:t>
      </w:r>
      <w:r w:rsidR="00BD23C0" w:rsidRPr="00B64809">
        <w:t xml:space="preserve">Weinstein, defense counsel </w:t>
      </w:r>
      <w:r w:rsidR="007C4B0D" w:rsidRPr="00B64809">
        <w:t>representing accused sex offenders should make sure that trial judges think twice before opening the flood g</w:t>
      </w:r>
      <w:r w:rsidR="00E61B2E" w:rsidRPr="00B64809">
        <w:t>ates</w:t>
      </w:r>
      <w:r w:rsidR="007C4B0D" w:rsidRPr="00B64809">
        <w:t xml:space="preserve"> </w:t>
      </w:r>
      <w:r w:rsidR="001B7A10" w:rsidRPr="00B64809">
        <w:t xml:space="preserve">to a torrent of prior bad act evidence that </w:t>
      </w:r>
      <w:r w:rsidR="00CF37AA" w:rsidRPr="00B64809">
        <w:t>has only marginal</w:t>
      </w:r>
      <w:r w:rsidR="003605B7" w:rsidRPr="00B64809">
        <w:t xml:space="preserve"> relevance</w:t>
      </w:r>
      <w:r w:rsidR="00CF37AA" w:rsidRPr="00B64809">
        <w:t xml:space="preserve"> </w:t>
      </w:r>
      <w:r w:rsidR="006C433F" w:rsidRPr="00B64809">
        <w:t>to material issues in the cas</w:t>
      </w:r>
      <w:r w:rsidRPr="00B64809">
        <w:t>e or to the defendant’s</w:t>
      </w:r>
      <w:r w:rsidR="00E61B2E" w:rsidRPr="00B64809">
        <w:t xml:space="preserve"> credibility. </w:t>
      </w:r>
      <w:r w:rsidR="006C433F" w:rsidRPr="00B64809">
        <w:t xml:space="preserve"> </w:t>
      </w:r>
    </w:p>
    <w:p w14:paraId="5538CE6F" w14:textId="3DF81678" w:rsidR="00C163D7" w:rsidRPr="00B64809" w:rsidRDefault="00C163D7">
      <w:r w:rsidRPr="00B64809">
        <w:t>In the</w:t>
      </w:r>
      <w:r w:rsidR="00D72B84" w:rsidRPr="00B64809">
        <w:t xml:space="preserve"> </w:t>
      </w:r>
      <w:r w:rsidR="00D72B84" w:rsidRPr="00B64809">
        <w:rPr>
          <w:i/>
          <w:iCs/>
        </w:rPr>
        <w:t>Molineux</w:t>
      </w:r>
      <w:r w:rsidRPr="00B64809">
        <w:t xml:space="preserve"> conte</w:t>
      </w:r>
      <w:r w:rsidR="00D72B84" w:rsidRPr="00B64809">
        <w:t>xt</w:t>
      </w:r>
      <w:r w:rsidRPr="00B64809">
        <w:t xml:space="preserve">, the People must first demonstrate the relevance of the </w:t>
      </w:r>
      <w:r w:rsidR="00D72B84" w:rsidRPr="00B64809">
        <w:t xml:space="preserve">proposed evidence to some issue or than propensity </w:t>
      </w:r>
      <w:r w:rsidR="00D56ECE" w:rsidRPr="00B64809">
        <w:t xml:space="preserve">and explain why it’s necessary </w:t>
      </w:r>
      <w:r w:rsidR="00147A6D" w:rsidRPr="00B64809">
        <w:t xml:space="preserve">(e.g., to prove, motive, intent knowledge </w:t>
      </w:r>
      <w:r w:rsidR="003605B7" w:rsidRPr="00B64809">
        <w:t>etc.</w:t>
      </w:r>
      <w:r w:rsidR="00147A6D" w:rsidRPr="00B64809">
        <w:t xml:space="preserve"> which is not readily inferable from the act itself)</w:t>
      </w:r>
      <w:r w:rsidR="002743ED" w:rsidRPr="00B64809">
        <w:t>, and then the court must balance the probative value of such evidence against the potential for undue prejudice (</w:t>
      </w:r>
      <w:r w:rsidR="00B53D26" w:rsidRPr="00B64809">
        <w:t xml:space="preserve">i.e., confusing or misleading the jury or </w:t>
      </w:r>
      <w:r w:rsidR="003C59CA" w:rsidRPr="00B64809">
        <w:t>suggesting a predisposition toward criminality).</w:t>
      </w:r>
    </w:p>
    <w:p w14:paraId="3C3CC18C" w14:textId="7F275E0E" w:rsidR="0069771A" w:rsidRPr="00B64809" w:rsidRDefault="00220F46">
      <w:r w:rsidRPr="00B64809">
        <w:t>Conversely</w:t>
      </w:r>
      <w:r w:rsidR="00D32600" w:rsidRPr="00B64809">
        <w:t xml:space="preserve">, under </w:t>
      </w:r>
      <w:r w:rsidR="00D32600" w:rsidRPr="00B64809">
        <w:rPr>
          <w:i/>
          <w:iCs/>
        </w:rPr>
        <w:t>Sandoval</w:t>
      </w:r>
      <w:r w:rsidR="00D32600" w:rsidRPr="00B64809">
        <w:t xml:space="preserve">, counsel should be prepared to demonstrate how and why the </w:t>
      </w:r>
      <w:r w:rsidR="00AC01CC" w:rsidRPr="00B64809">
        <w:t xml:space="preserve">proposed cross examination would delve into matters that are either too remote, </w:t>
      </w:r>
      <w:r w:rsidR="004C2EF3" w:rsidRPr="00B64809">
        <w:t xml:space="preserve">not probative </w:t>
      </w:r>
      <w:r w:rsidR="006B5DA4" w:rsidRPr="00B64809">
        <w:t>of truthfulness</w:t>
      </w:r>
      <w:r w:rsidR="004C2EF3" w:rsidRPr="00B64809">
        <w:t xml:space="preserve">, or </w:t>
      </w:r>
      <w:r w:rsidR="00D77217" w:rsidRPr="00B64809">
        <w:t xml:space="preserve">just </w:t>
      </w:r>
      <w:r w:rsidR="001F1A9C" w:rsidRPr="00B64809">
        <w:t xml:space="preserve">too </w:t>
      </w:r>
      <w:r w:rsidR="00D77217" w:rsidRPr="00B64809">
        <w:t>inflammatory</w:t>
      </w:r>
      <w:r w:rsidR="001F1A9C" w:rsidRPr="00B64809">
        <w:t xml:space="preserve"> to be </w:t>
      </w:r>
      <w:r w:rsidR="000148A3" w:rsidRPr="00B64809">
        <w:t xml:space="preserve">mentioned. </w:t>
      </w:r>
    </w:p>
    <w:p w14:paraId="4947739B" w14:textId="1CFDE74C" w:rsidR="0053579C" w:rsidRPr="00B64809" w:rsidRDefault="00101853">
      <w:r w:rsidRPr="00B64809">
        <w:t>As</w:t>
      </w:r>
      <w:r w:rsidR="00122257" w:rsidRPr="00B64809">
        <w:t xml:space="preserve"> </w:t>
      </w:r>
      <w:r w:rsidR="003F6174" w:rsidRPr="00B64809">
        <w:rPr>
          <w:i/>
          <w:iCs/>
        </w:rPr>
        <w:t>Molineux</w:t>
      </w:r>
      <w:r w:rsidR="003F6174" w:rsidRPr="00B64809">
        <w:t xml:space="preserve"> </w:t>
      </w:r>
      <w:r w:rsidR="00B23543" w:rsidRPr="00B64809">
        <w:t>observed</w:t>
      </w:r>
      <w:r w:rsidR="003F6174" w:rsidRPr="00B64809">
        <w:t xml:space="preserve"> in 190</w:t>
      </w:r>
      <w:r w:rsidR="00B23543" w:rsidRPr="00B64809">
        <w:t xml:space="preserve">1, “no person </w:t>
      </w:r>
      <w:r w:rsidR="00221C8E" w:rsidRPr="00B64809">
        <w:t>accused of illegality may be judged on proof of uncharged crimes</w:t>
      </w:r>
      <w:r w:rsidR="00967656" w:rsidRPr="00B64809">
        <w:t xml:space="preserve"> that </w:t>
      </w:r>
      <w:r w:rsidR="00122257" w:rsidRPr="00B64809">
        <w:t>serve only</w:t>
      </w:r>
      <w:r w:rsidR="00967656" w:rsidRPr="00B64809">
        <w:t xml:space="preserve"> to establish (his/her) propensity for criminal behavio</w:t>
      </w:r>
      <w:r w:rsidR="00B027D3" w:rsidRPr="00B64809">
        <w:t>r” (</w:t>
      </w:r>
      <w:r w:rsidR="00122257" w:rsidRPr="00B64809">
        <w:t>168 NY at 310). And, as</w:t>
      </w:r>
      <w:r w:rsidR="00F46FE0" w:rsidRPr="00B64809">
        <w:t xml:space="preserve"> noted in </w:t>
      </w:r>
      <w:r w:rsidR="00F46FE0" w:rsidRPr="00B64809">
        <w:rPr>
          <w:i/>
          <w:iCs/>
        </w:rPr>
        <w:t>Weinstein</w:t>
      </w:r>
      <w:r w:rsidR="00F46FE0" w:rsidRPr="00B64809">
        <w:t xml:space="preserve"> 123 years later,</w:t>
      </w:r>
      <w:r w:rsidR="00296C02" w:rsidRPr="00B64809">
        <w:t xml:space="preserve"> prior bad act evidence should be limited </w:t>
      </w:r>
      <w:r w:rsidR="001951B0" w:rsidRPr="00B64809">
        <w:t>to conduct that truly bears on credibility</w:t>
      </w:r>
      <w:r w:rsidR="006B5DA4" w:rsidRPr="00B64809">
        <w:t>,</w:t>
      </w:r>
      <w:r w:rsidR="001951B0" w:rsidRPr="00B64809">
        <w:t xml:space="preserve"> and it is an abuse of discretion to admit untested allegations of nothing more than bad behavio</w:t>
      </w:r>
      <w:r w:rsidR="001E380A" w:rsidRPr="00B64809">
        <w:t xml:space="preserve">r that destroys a defendant’s character. </w:t>
      </w:r>
    </w:p>
    <w:p w14:paraId="45689F85" w14:textId="77777777" w:rsidR="00E24B80" w:rsidRPr="00B64809" w:rsidRDefault="00E24B80"/>
    <w:p w14:paraId="2FD77EDA" w14:textId="0CA226F2" w:rsidR="00E24B80" w:rsidRPr="00B64809" w:rsidRDefault="00E24B80">
      <w:r w:rsidRPr="00B64809">
        <w:t xml:space="preserve">LEGISLATIVE </w:t>
      </w:r>
      <w:r w:rsidR="00F210EC" w:rsidRPr="00B64809">
        <w:t>(OVER)REACTION</w:t>
      </w:r>
    </w:p>
    <w:p w14:paraId="3E834870" w14:textId="42CBBE27" w:rsidR="00773A9D" w:rsidRDefault="00E24B80">
      <w:r w:rsidRPr="00B64809">
        <w:t xml:space="preserve">In the wake of the </w:t>
      </w:r>
      <w:r w:rsidRPr="00B64809">
        <w:rPr>
          <w:i/>
          <w:iCs/>
        </w:rPr>
        <w:t>Weinstein</w:t>
      </w:r>
      <w:r w:rsidRPr="00B64809">
        <w:t xml:space="preserve"> reversal, the New York State </w:t>
      </w:r>
      <w:r w:rsidR="00DC3CE1" w:rsidRPr="00B64809">
        <w:t xml:space="preserve">Senate </w:t>
      </w:r>
      <w:r w:rsidR="00833F7C" w:rsidRPr="00B64809">
        <w:t>passed</w:t>
      </w:r>
      <w:r w:rsidR="002D064D" w:rsidRPr="00B64809">
        <w:t xml:space="preserve"> a bill that would permit </w:t>
      </w:r>
      <w:r w:rsidR="00AD416B" w:rsidRPr="00B64809">
        <w:t xml:space="preserve">the introduction of prior </w:t>
      </w:r>
      <w:r w:rsidR="00D660F5" w:rsidRPr="00B64809">
        <w:t>of prior sexual assaults</w:t>
      </w:r>
      <w:r w:rsidR="00401285" w:rsidRPr="00B64809">
        <w:t xml:space="preserve"> into evidence</w:t>
      </w:r>
      <w:r w:rsidR="00D660F5" w:rsidRPr="00B64809">
        <w:t xml:space="preserve"> at trial</w:t>
      </w:r>
      <w:r w:rsidR="00E64A7B" w:rsidRPr="00B64809">
        <w:t xml:space="preserve">. </w:t>
      </w:r>
      <w:r w:rsidR="00F210EC" w:rsidRPr="00B64809">
        <w:t>The bill</w:t>
      </w:r>
      <w:r w:rsidR="0069403B" w:rsidRPr="00B64809">
        <w:t xml:space="preserve"> would bring New York into sync with </w:t>
      </w:r>
      <w:r w:rsidR="004F7865" w:rsidRPr="00B64809">
        <w:t>California’s Evidence Code (</w:t>
      </w:r>
      <w:r w:rsidR="00A4324E" w:rsidRPr="00B64809">
        <w:t>Evidence Code §</w:t>
      </w:r>
      <w:r w:rsidR="004F7865" w:rsidRPr="00B64809">
        <w:t xml:space="preserve"> 1108) which </w:t>
      </w:r>
      <w:r w:rsidR="00602120" w:rsidRPr="00B64809">
        <w:t xml:space="preserve">allows evidence of </w:t>
      </w:r>
      <w:r w:rsidR="00840BB2" w:rsidRPr="00B64809">
        <w:t xml:space="preserve">uncharged sexual </w:t>
      </w:r>
      <w:r w:rsidR="00945DDC" w:rsidRPr="00B64809">
        <w:t>offenses to</w:t>
      </w:r>
      <w:r w:rsidR="00602120" w:rsidRPr="00B64809">
        <w:t xml:space="preserve"> show the defendant’s propensity </w:t>
      </w:r>
      <w:r w:rsidR="001532FC" w:rsidRPr="00B64809">
        <w:t xml:space="preserve">toward such conduct </w:t>
      </w:r>
      <w:r w:rsidR="00945DDC" w:rsidRPr="00B64809">
        <w:t>(</w:t>
      </w:r>
      <w:r w:rsidR="00945DDC" w:rsidRPr="00B64809">
        <w:rPr>
          <w:i/>
          <w:iCs/>
        </w:rPr>
        <w:t>People v Fitch</w:t>
      </w:r>
      <w:r w:rsidR="00945DDC" w:rsidRPr="00B64809">
        <w:t>, 5</w:t>
      </w:r>
      <w:r w:rsidR="00A4324E" w:rsidRPr="00B64809">
        <w:t>5</w:t>
      </w:r>
      <w:r w:rsidR="00945DDC" w:rsidRPr="00B64809">
        <w:t xml:space="preserve"> Cal</w:t>
      </w:r>
      <w:r w:rsidR="00A4324E" w:rsidRPr="00B64809">
        <w:t>.</w:t>
      </w:r>
      <w:r w:rsidR="00490A00" w:rsidRPr="00B64809">
        <w:t>App</w:t>
      </w:r>
      <w:r w:rsidR="00A4324E" w:rsidRPr="00B64809">
        <w:t>.</w:t>
      </w:r>
      <w:r w:rsidR="00490A00" w:rsidRPr="00B64809">
        <w:t>4</w:t>
      </w:r>
      <w:r w:rsidR="00490A00" w:rsidRPr="00B64809">
        <w:rPr>
          <w:vertAlign w:val="superscript"/>
        </w:rPr>
        <w:t>th</w:t>
      </w:r>
      <w:r w:rsidR="00490A00" w:rsidRPr="00B64809">
        <w:t xml:space="preserve"> </w:t>
      </w:r>
      <w:r w:rsidR="00A4324E" w:rsidRPr="00B64809">
        <w:t>1</w:t>
      </w:r>
      <w:r w:rsidR="00490A00" w:rsidRPr="00B64809">
        <w:t>72</w:t>
      </w:r>
      <w:r w:rsidR="00773A9D" w:rsidRPr="00B64809">
        <w:t xml:space="preserve"> [1997]).</w:t>
      </w:r>
      <w:r w:rsidR="00F210EC" w:rsidRPr="00B64809">
        <w:t xml:space="preserve"> Cooler heads, however, prevailed, and the bill did not pass the assembly. For the moment, the goal posts</w:t>
      </w:r>
      <w:r w:rsidR="00B64809" w:rsidRPr="00B64809">
        <w:t xml:space="preserve"> will remain in place</w:t>
      </w:r>
      <w:r w:rsidR="00F210EC" w:rsidRPr="00B64809">
        <w:t>.</w:t>
      </w:r>
    </w:p>
    <w:p w14:paraId="155A4123" w14:textId="77777777" w:rsidR="00773A9D" w:rsidRDefault="00773A9D"/>
    <w:p w14:paraId="03728D88" w14:textId="77777777" w:rsidR="00773A9D" w:rsidRDefault="00773A9D"/>
    <w:p w14:paraId="592C0929" w14:textId="77777777" w:rsidR="00773A9D" w:rsidRDefault="00773A9D"/>
    <w:p w14:paraId="01C46069" w14:textId="77777777" w:rsidR="00773A9D" w:rsidRDefault="00773A9D"/>
    <w:p w14:paraId="2A7B3E84" w14:textId="77777777" w:rsidR="00773A9D" w:rsidRDefault="00773A9D"/>
    <w:p w14:paraId="655EC078" w14:textId="77777777" w:rsidR="00773A9D" w:rsidRDefault="00773A9D"/>
    <w:p w14:paraId="59A554D9" w14:textId="77777777" w:rsidR="00773A9D" w:rsidRDefault="00773A9D"/>
    <w:p w14:paraId="587F0315" w14:textId="77777777" w:rsidR="00773A9D" w:rsidRDefault="00773A9D"/>
    <w:p w14:paraId="4D1212C4" w14:textId="77777777" w:rsidR="00773A9D" w:rsidRDefault="00773A9D"/>
    <w:p w14:paraId="07974030" w14:textId="77777777" w:rsidR="00773A9D" w:rsidRDefault="00773A9D"/>
    <w:p w14:paraId="4503B986" w14:textId="77777777" w:rsidR="00773A9D" w:rsidRDefault="00773A9D"/>
    <w:p w14:paraId="51F1DFB5" w14:textId="77777777" w:rsidR="00773A9D" w:rsidRDefault="00773A9D"/>
    <w:p w14:paraId="34EA39B2" w14:textId="77777777" w:rsidR="00773A9D" w:rsidRDefault="00773A9D"/>
    <w:p w14:paraId="55FC8E4B" w14:textId="77777777" w:rsidR="00773A9D" w:rsidRDefault="00773A9D"/>
    <w:p w14:paraId="7033B879" w14:textId="77777777" w:rsidR="00773A9D" w:rsidRDefault="00773A9D"/>
    <w:p w14:paraId="20F66A45" w14:textId="77777777" w:rsidR="00773A9D" w:rsidRDefault="00773A9D"/>
    <w:p w14:paraId="424A1B93" w14:textId="77777777" w:rsidR="00773A9D" w:rsidRDefault="00773A9D"/>
    <w:p w14:paraId="08748CA9" w14:textId="77777777" w:rsidR="00773A9D" w:rsidRDefault="00773A9D"/>
    <w:p w14:paraId="3F7879EB" w14:textId="77777777" w:rsidR="00773A9D" w:rsidRDefault="00773A9D"/>
    <w:p w14:paraId="4E3B160A" w14:textId="77777777" w:rsidR="0071342A" w:rsidRDefault="0071342A"/>
    <w:p w14:paraId="139F4960" w14:textId="77777777" w:rsidR="00797A99" w:rsidRDefault="00797A99"/>
    <w:p w14:paraId="23C2EDA8" w14:textId="77777777" w:rsidR="00B60800" w:rsidRDefault="00B60800"/>
    <w:p w14:paraId="51DBDE45" w14:textId="77777777" w:rsidR="00442292" w:rsidRDefault="00442292"/>
    <w:p w14:paraId="1E8850DA" w14:textId="77777777" w:rsidR="00442292" w:rsidRDefault="00442292"/>
    <w:p w14:paraId="785E78CD" w14:textId="77777777" w:rsidR="00310455" w:rsidRDefault="00310455"/>
    <w:p w14:paraId="458B8701" w14:textId="77777777" w:rsidR="00D85441" w:rsidRDefault="00D85441"/>
    <w:p w14:paraId="1A07A22D" w14:textId="77777777" w:rsidR="00871D38" w:rsidRDefault="00871D38"/>
    <w:p w14:paraId="6FCCE8D6" w14:textId="77777777" w:rsidR="00732D1E" w:rsidRDefault="00732D1E"/>
    <w:p w14:paraId="106E010A" w14:textId="77777777" w:rsidR="00292DBD" w:rsidRDefault="00292DBD"/>
    <w:p w14:paraId="3B2FBBE0" w14:textId="6EFD01D7" w:rsidR="00EA2BC0" w:rsidRDefault="008E780B">
      <w:r>
        <w:t xml:space="preserve">   </w:t>
      </w:r>
    </w:p>
    <w:sectPr w:rsidR="00EA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5"/>
    <w:rsid w:val="000071AE"/>
    <w:rsid w:val="00012EA3"/>
    <w:rsid w:val="000148A3"/>
    <w:rsid w:val="00026B83"/>
    <w:rsid w:val="000271E6"/>
    <w:rsid w:val="000340B9"/>
    <w:rsid w:val="00034C83"/>
    <w:rsid w:val="00046AB0"/>
    <w:rsid w:val="000578CF"/>
    <w:rsid w:val="000632F3"/>
    <w:rsid w:val="00076B82"/>
    <w:rsid w:val="00083479"/>
    <w:rsid w:val="00090EA4"/>
    <w:rsid w:val="0009280D"/>
    <w:rsid w:val="0009494C"/>
    <w:rsid w:val="00094F92"/>
    <w:rsid w:val="000B3688"/>
    <w:rsid w:val="000B371F"/>
    <w:rsid w:val="000C5D99"/>
    <w:rsid w:val="000D6240"/>
    <w:rsid w:val="000E3819"/>
    <w:rsid w:val="000F1371"/>
    <w:rsid w:val="00101853"/>
    <w:rsid w:val="0011158E"/>
    <w:rsid w:val="00113FB5"/>
    <w:rsid w:val="00122257"/>
    <w:rsid w:val="00130D2C"/>
    <w:rsid w:val="001464B1"/>
    <w:rsid w:val="00147A6D"/>
    <w:rsid w:val="001532FC"/>
    <w:rsid w:val="0016534C"/>
    <w:rsid w:val="00167282"/>
    <w:rsid w:val="0017630B"/>
    <w:rsid w:val="001951B0"/>
    <w:rsid w:val="001A4688"/>
    <w:rsid w:val="001A7E14"/>
    <w:rsid w:val="001B3BE0"/>
    <w:rsid w:val="001B6DD2"/>
    <w:rsid w:val="001B7A10"/>
    <w:rsid w:val="001D29EE"/>
    <w:rsid w:val="001E1C2A"/>
    <w:rsid w:val="001E380A"/>
    <w:rsid w:val="001F1A9C"/>
    <w:rsid w:val="001F4517"/>
    <w:rsid w:val="001F5EBA"/>
    <w:rsid w:val="00206A24"/>
    <w:rsid w:val="00210DE6"/>
    <w:rsid w:val="00212746"/>
    <w:rsid w:val="00213FC4"/>
    <w:rsid w:val="0021751C"/>
    <w:rsid w:val="0022065D"/>
    <w:rsid w:val="00220F46"/>
    <w:rsid w:val="00221C8E"/>
    <w:rsid w:val="00223217"/>
    <w:rsid w:val="0022780C"/>
    <w:rsid w:val="00235417"/>
    <w:rsid w:val="002432AA"/>
    <w:rsid w:val="00246691"/>
    <w:rsid w:val="00247568"/>
    <w:rsid w:val="00247D16"/>
    <w:rsid w:val="00250168"/>
    <w:rsid w:val="002504AC"/>
    <w:rsid w:val="002654E0"/>
    <w:rsid w:val="002743ED"/>
    <w:rsid w:val="00276897"/>
    <w:rsid w:val="00281CEA"/>
    <w:rsid w:val="0028502D"/>
    <w:rsid w:val="00292DBD"/>
    <w:rsid w:val="00295F42"/>
    <w:rsid w:val="0029689A"/>
    <w:rsid w:val="00296C02"/>
    <w:rsid w:val="002A085E"/>
    <w:rsid w:val="002B3B15"/>
    <w:rsid w:val="002C0541"/>
    <w:rsid w:val="002C2D3C"/>
    <w:rsid w:val="002C67A2"/>
    <w:rsid w:val="002D064D"/>
    <w:rsid w:val="002D0C3D"/>
    <w:rsid w:val="002D10C1"/>
    <w:rsid w:val="002E0911"/>
    <w:rsid w:val="002E5371"/>
    <w:rsid w:val="002F18CB"/>
    <w:rsid w:val="002F23B5"/>
    <w:rsid w:val="002F7960"/>
    <w:rsid w:val="00302282"/>
    <w:rsid w:val="00305136"/>
    <w:rsid w:val="0030607D"/>
    <w:rsid w:val="00310455"/>
    <w:rsid w:val="00316D69"/>
    <w:rsid w:val="003447B3"/>
    <w:rsid w:val="00344B99"/>
    <w:rsid w:val="003605B7"/>
    <w:rsid w:val="00360DEF"/>
    <w:rsid w:val="0036121A"/>
    <w:rsid w:val="003649ED"/>
    <w:rsid w:val="003655EC"/>
    <w:rsid w:val="00370835"/>
    <w:rsid w:val="00372538"/>
    <w:rsid w:val="00386CFC"/>
    <w:rsid w:val="003A3BE8"/>
    <w:rsid w:val="003B5ED2"/>
    <w:rsid w:val="003C1018"/>
    <w:rsid w:val="003C59CA"/>
    <w:rsid w:val="003C6D10"/>
    <w:rsid w:val="003D012A"/>
    <w:rsid w:val="003D7F70"/>
    <w:rsid w:val="003E4DB4"/>
    <w:rsid w:val="003F1A6A"/>
    <w:rsid w:val="003F6174"/>
    <w:rsid w:val="00401285"/>
    <w:rsid w:val="004253EC"/>
    <w:rsid w:val="00440686"/>
    <w:rsid w:val="00442292"/>
    <w:rsid w:val="004607B7"/>
    <w:rsid w:val="00463C6E"/>
    <w:rsid w:val="00472E03"/>
    <w:rsid w:val="00473493"/>
    <w:rsid w:val="00480959"/>
    <w:rsid w:val="0048579C"/>
    <w:rsid w:val="00490A00"/>
    <w:rsid w:val="00492B2F"/>
    <w:rsid w:val="00493B7F"/>
    <w:rsid w:val="00495B5E"/>
    <w:rsid w:val="00495FC2"/>
    <w:rsid w:val="004A5532"/>
    <w:rsid w:val="004B67FC"/>
    <w:rsid w:val="004C2104"/>
    <w:rsid w:val="004C2EF3"/>
    <w:rsid w:val="004C6063"/>
    <w:rsid w:val="004D0206"/>
    <w:rsid w:val="004D3E74"/>
    <w:rsid w:val="004D6916"/>
    <w:rsid w:val="004E4644"/>
    <w:rsid w:val="004F3769"/>
    <w:rsid w:val="004F7865"/>
    <w:rsid w:val="00506708"/>
    <w:rsid w:val="005119BF"/>
    <w:rsid w:val="005119EF"/>
    <w:rsid w:val="005128FB"/>
    <w:rsid w:val="00513E0D"/>
    <w:rsid w:val="005216B5"/>
    <w:rsid w:val="00530F2E"/>
    <w:rsid w:val="0053579C"/>
    <w:rsid w:val="00545B23"/>
    <w:rsid w:val="005502CF"/>
    <w:rsid w:val="00551EA2"/>
    <w:rsid w:val="00552E00"/>
    <w:rsid w:val="005650AC"/>
    <w:rsid w:val="00571F44"/>
    <w:rsid w:val="005724E0"/>
    <w:rsid w:val="00582114"/>
    <w:rsid w:val="00590215"/>
    <w:rsid w:val="0059198B"/>
    <w:rsid w:val="005949A0"/>
    <w:rsid w:val="00595D73"/>
    <w:rsid w:val="005962FA"/>
    <w:rsid w:val="005A3299"/>
    <w:rsid w:val="005B07FB"/>
    <w:rsid w:val="005B550E"/>
    <w:rsid w:val="005C3C60"/>
    <w:rsid w:val="005C439C"/>
    <w:rsid w:val="005C7503"/>
    <w:rsid w:val="005D06C8"/>
    <w:rsid w:val="005E421D"/>
    <w:rsid w:val="005E6531"/>
    <w:rsid w:val="00601420"/>
    <w:rsid w:val="00602120"/>
    <w:rsid w:val="00605471"/>
    <w:rsid w:val="00606460"/>
    <w:rsid w:val="00611D61"/>
    <w:rsid w:val="00616B3C"/>
    <w:rsid w:val="00617A1F"/>
    <w:rsid w:val="00634F38"/>
    <w:rsid w:val="00646677"/>
    <w:rsid w:val="00656230"/>
    <w:rsid w:val="006627A0"/>
    <w:rsid w:val="00662E55"/>
    <w:rsid w:val="00664968"/>
    <w:rsid w:val="006670E5"/>
    <w:rsid w:val="00674A1C"/>
    <w:rsid w:val="006917F4"/>
    <w:rsid w:val="0069403B"/>
    <w:rsid w:val="0069771A"/>
    <w:rsid w:val="006A7874"/>
    <w:rsid w:val="006B39BF"/>
    <w:rsid w:val="006B5DA4"/>
    <w:rsid w:val="006C433F"/>
    <w:rsid w:val="006C6B90"/>
    <w:rsid w:val="006D790E"/>
    <w:rsid w:val="006E461A"/>
    <w:rsid w:val="006E51C5"/>
    <w:rsid w:val="00702BA8"/>
    <w:rsid w:val="00704AC0"/>
    <w:rsid w:val="00707B36"/>
    <w:rsid w:val="00710547"/>
    <w:rsid w:val="00712127"/>
    <w:rsid w:val="00713252"/>
    <w:rsid w:val="0071342A"/>
    <w:rsid w:val="0071593D"/>
    <w:rsid w:val="007222F1"/>
    <w:rsid w:val="0072282A"/>
    <w:rsid w:val="00724624"/>
    <w:rsid w:val="00732D1E"/>
    <w:rsid w:val="007402D3"/>
    <w:rsid w:val="00740B10"/>
    <w:rsid w:val="00741626"/>
    <w:rsid w:val="007423A5"/>
    <w:rsid w:val="0074632F"/>
    <w:rsid w:val="00751F2F"/>
    <w:rsid w:val="007602A8"/>
    <w:rsid w:val="00761A5B"/>
    <w:rsid w:val="00763652"/>
    <w:rsid w:val="00767165"/>
    <w:rsid w:val="00773A9D"/>
    <w:rsid w:val="0077413D"/>
    <w:rsid w:val="00781BEF"/>
    <w:rsid w:val="007844A6"/>
    <w:rsid w:val="00793D94"/>
    <w:rsid w:val="00797A99"/>
    <w:rsid w:val="007A48AB"/>
    <w:rsid w:val="007A64FF"/>
    <w:rsid w:val="007B75A6"/>
    <w:rsid w:val="007C4B0D"/>
    <w:rsid w:val="007E1BCB"/>
    <w:rsid w:val="007E3658"/>
    <w:rsid w:val="007E685E"/>
    <w:rsid w:val="00806C3B"/>
    <w:rsid w:val="008114E1"/>
    <w:rsid w:val="008218AA"/>
    <w:rsid w:val="008303EF"/>
    <w:rsid w:val="00833F7C"/>
    <w:rsid w:val="00840BB2"/>
    <w:rsid w:val="00846032"/>
    <w:rsid w:val="00851C08"/>
    <w:rsid w:val="00857678"/>
    <w:rsid w:val="00864D78"/>
    <w:rsid w:val="0086573E"/>
    <w:rsid w:val="00866C7E"/>
    <w:rsid w:val="00867ADE"/>
    <w:rsid w:val="00871D38"/>
    <w:rsid w:val="00873939"/>
    <w:rsid w:val="00886444"/>
    <w:rsid w:val="0089434B"/>
    <w:rsid w:val="00894DE9"/>
    <w:rsid w:val="00895340"/>
    <w:rsid w:val="00897998"/>
    <w:rsid w:val="008A6B03"/>
    <w:rsid w:val="008B036F"/>
    <w:rsid w:val="008B4831"/>
    <w:rsid w:val="008B761F"/>
    <w:rsid w:val="008C1DCC"/>
    <w:rsid w:val="008E4040"/>
    <w:rsid w:val="008E780B"/>
    <w:rsid w:val="008F62DA"/>
    <w:rsid w:val="00920909"/>
    <w:rsid w:val="00927A7A"/>
    <w:rsid w:val="00945DDC"/>
    <w:rsid w:val="00967656"/>
    <w:rsid w:val="0097363F"/>
    <w:rsid w:val="0098435D"/>
    <w:rsid w:val="00986064"/>
    <w:rsid w:val="00990871"/>
    <w:rsid w:val="00994205"/>
    <w:rsid w:val="009A3CE2"/>
    <w:rsid w:val="009A400E"/>
    <w:rsid w:val="009A4DD5"/>
    <w:rsid w:val="009A503E"/>
    <w:rsid w:val="009B0DAF"/>
    <w:rsid w:val="009B5AB6"/>
    <w:rsid w:val="009B668F"/>
    <w:rsid w:val="009C328B"/>
    <w:rsid w:val="009C4CC8"/>
    <w:rsid w:val="009D024D"/>
    <w:rsid w:val="009D587D"/>
    <w:rsid w:val="009D6C6D"/>
    <w:rsid w:val="009E52CC"/>
    <w:rsid w:val="009E6D8A"/>
    <w:rsid w:val="00A0084B"/>
    <w:rsid w:val="00A01CCA"/>
    <w:rsid w:val="00A1123A"/>
    <w:rsid w:val="00A22A15"/>
    <w:rsid w:val="00A24A74"/>
    <w:rsid w:val="00A42E1D"/>
    <w:rsid w:val="00A4324E"/>
    <w:rsid w:val="00A47BFC"/>
    <w:rsid w:val="00A532F5"/>
    <w:rsid w:val="00A53F2D"/>
    <w:rsid w:val="00A62122"/>
    <w:rsid w:val="00A760BC"/>
    <w:rsid w:val="00A863A4"/>
    <w:rsid w:val="00A86534"/>
    <w:rsid w:val="00A90B09"/>
    <w:rsid w:val="00A94279"/>
    <w:rsid w:val="00A94816"/>
    <w:rsid w:val="00AB0129"/>
    <w:rsid w:val="00AC01CC"/>
    <w:rsid w:val="00AC01E6"/>
    <w:rsid w:val="00AC3CB5"/>
    <w:rsid w:val="00AC6AC6"/>
    <w:rsid w:val="00AD416B"/>
    <w:rsid w:val="00AE5FA9"/>
    <w:rsid w:val="00AF1673"/>
    <w:rsid w:val="00B027D3"/>
    <w:rsid w:val="00B05CBB"/>
    <w:rsid w:val="00B06BE6"/>
    <w:rsid w:val="00B129A4"/>
    <w:rsid w:val="00B14A2A"/>
    <w:rsid w:val="00B15CAF"/>
    <w:rsid w:val="00B1691E"/>
    <w:rsid w:val="00B20711"/>
    <w:rsid w:val="00B20D51"/>
    <w:rsid w:val="00B23543"/>
    <w:rsid w:val="00B370AA"/>
    <w:rsid w:val="00B3750D"/>
    <w:rsid w:val="00B411FC"/>
    <w:rsid w:val="00B53D26"/>
    <w:rsid w:val="00B60800"/>
    <w:rsid w:val="00B64809"/>
    <w:rsid w:val="00B64AB0"/>
    <w:rsid w:val="00B72F9A"/>
    <w:rsid w:val="00B736FC"/>
    <w:rsid w:val="00B81D14"/>
    <w:rsid w:val="00B8666B"/>
    <w:rsid w:val="00B9205B"/>
    <w:rsid w:val="00B92E02"/>
    <w:rsid w:val="00BC0240"/>
    <w:rsid w:val="00BC153B"/>
    <w:rsid w:val="00BD23C0"/>
    <w:rsid w:val="00BD3A58"/>
    <w:rsid w:val="00BE3F22"/>
    <w:rsid w:val="00BE72B5"/>
    <w:rsid w:val="00BF51AB"/>
    <w:rsid w:val="00BF5AC6"/>
    <w:rsid w:val="00C071CE"/>
    <w:rsid w:val="00C163D7"/>
    <w:rsid w:val="00C21928"/>
    <w:rsid w:val="00C31928"/>
    <w:rsid w:val="00C45CDD"/>
    <w:rsid w:val="00C50853"/>
    <w:rsid w:val="00C55477"/>
    <w:rsid w:val="00C61901"/>
    <w:rsid w:val="00C630B0"/>
    <w:rsid w:val="00C64275"/>
    <w:rsid w:val="00C74C90"/>
    <w:rsid w:val="00C766D4"/>
    <w:rsid w:val="00C90C6C"/>
    <w:rsid w:val="00C97CBB"/>
    <w:rsid w:val="00CA6A0E"/>
    <w:rsid w:val="00CB7295"/>
    <w:rsid w:val="00CB7A79"/>
    <w:rsid w:val="00CC3D7D"/>
    <w:rsid w:val="00CC4F09"/>
    <w:rsid w:val="00CD041C"/>
    <w:rsid w:val="00CD14AD"/>
    <w:rsid w:val="00CD6077"/>
    <w:rsid w:val="00CD6CA0"/>
    <w:rsid w:val="00CE56A4"/>
    <w:rsid w:val="00CF37AA"/>
    <w:rsid w:val="00D057FB"/>
    <w:rsid w:val="00D07335"/>
    <w:rsid w:val="00D14FAF"/>
    <w:rsid w:val="00D21ACE"/>
    <w:rsid w:val="00D32600"/>
    <w:rsid w:val="00D32A42"/>
    <w:rsid w:val="00D34E6C"/>
    <w:rsid w:val="00D42D19"/>
    <w:rsid w:val="00D55F14"/>
    <w:rsid w:val="00D56ECE"/>
    <w:rsid w:val="00D57C6A"/>
    <w:rsid w:val="00D660F5"/>
    <w:rsid w:val="00D72B84"/>
    <w:rsid w:val="00D77217"/>
    <w:rsid w:val="00D8086C"/>
    <w:rsid w:val="00D81BD8"/>
    <w:rsid w:val="00D83ADA"/>
    <w:rsid w:val="00D85441"/>
    <w:rsid w:val="00D97DF0"/>
    <w:rsid w:val="00DA1AC5"/>
    <w:rsid w:val="00DA4F2F"/>
    <w:rsid w:val="00DA5528"/>
    <w:rsid w:val="00DA7F65"/>
    <w:rsid w:val="00DB55CE"/>
    <w:rsid w:val="00DC39B7"/>
    <w:rsid w:val="00DC3CE1"/>
    <w:rsid w:val="00DD3CB9"/>
    <w:rsid w:val="00DF1B13"/>
    <w:rsid w:val="00DF1EBD"/>
    <w:rsid w:val="00E13B08"/>
    <w:rsid w:val="00E14091"/>
    <w:rsid w:val="00E14096"/>
    <w:rsid w:val="00E2010F"/>
    <w:rsid w:val="00E24268"/>
    <w:rsid w:val="00E24B80"/>
    <w:rsid w:val="00E25BA1"/>
    <w:rsid w:val="00E417EA"/>
    <w:rsid w:val="00E4365A"/>
    <w:rsid w:val="00E439F1"/>
    <w:rsid w:val="00E45959"/>
    <w:rsid w:val="00E47686"/>
    <w:rsid w:val="00E54098"/>
    <w:rsid w:val="00E54541"/>
    <w:rsid w:val="00E61B2E"/>
    <w:rsid w:val="00E64995"/>
    <w:rsid w:val="00E64A7B"/>
    <w:rsid w:val="00E67883"/>
    <w:rsid w:val="00E67CFF"/>
    <w:rsid w:val="00E75F5D"/>
    <w:rsid w:val="00E805DB"/>
    <w:rsid w:val="00E86383"/>
    <w:rsid w:val="00E87E62"/>
    <w:rsid w:val="00E94C8A"/>
    <w:rsid w:val="00E95A62"/>
    <w:rsid w:val="00EA027A"/>
    <w:rsid w:val="00EA22FD"/>
    <w:rsid w:val="00EA2BC0"/>
    <w:rsid w:val="00EA44B8"/>
    <w:rsid w:val="00EC23B1"/>
    <w:rsid w:val="00EC4BAC"/>
    <w:rsid w:val="00ED0987"/>
    <w:rsid w:val="00ED1A9C"/>
    <w:rsid w:val="00ED4DB6"/>
    <w:rsid w:val="00ED53CF"/>
    <w:rsid w:val="00EF3F58"/>
    <w:rsid w:val="00F00767"/>
    <w:rsid w:val="00F05616"/>
    <w:rsid w:val="00F134C7"/>
    <w:rsid w:val="00F148B1"/>
    <w:rsid w:val="00F150B9"/>
    <w:rsid w:val="00F210EC"/>
    <w:rsid w:val="00F2310D"/>
    <w:rsid w:val="00F46FE0"/>
    <w:rsid w:val="00F478CB"/>
    <w:rsid w:val="00F547F7"/>
    <w:rsid w:val="00F63FAC"/>
    <w:rsid w:val="00F77A8F"/>
    <w:rsid w:val="00F80B82"/>
    <w:rsid w:val="00F9414E"/>
    <w:rsid w:val="00FB3B5C"/>
    <w:rsid w:val="00FB71C0"/>
    <w:rsid w:val="00FD6BD0"/>
    <w:rsid w:val="00FD6E01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D182"/>
  <w15:chartTrackingRefBased/>
  <w15:docId w15:val="{5DC1753A-EDFF-42C5-8C31-FC6C781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2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2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2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2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2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2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2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2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2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2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2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2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2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2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2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2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Jennifer Beagle</cp:lastModifiedBy>
  <cp:revision>2</cp:revision>
  <dcterms:created xsi:type="dcterms:W3CDTF">2024-06-17T15:30:00Z</dcterms:created>
  <dcterms:modified xsi:type="dcterms:W3CDTF">2024-06-17T15:30:00Z</dcterms:modified>
</cp:coreProperties>
</file>